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518" w:rsidRDefault="00925518">
      <w:pPr>
        <w:spacing w:afterLines="100" w:after="312" w:line="560" w:lineRule="exact"/>
        <w:jc w:val="center"/>
        <w:outlineLvl w:val="1"/>
        <w:rPr>
          <w:rFonts w:eastAsia="方正小标宋简体"/>
          <w:bCs/>
          <w:color w:val="000000"/>
          <w:sz w:val="44"/>
          <w:szCs w:val="44"/>
        </w:rPr>
      </w:pPr>
      <w:bookmarkStart w:id="0" w:name="_GoBack"/>
      <w:bookmarkEnd w:id="0"/>
    </w:p>
    <w:p w:rsidR="00CC7407" w:rsidRPr="00A57841" w:rsidRDefault="00CC7407" w:rsidP="00CC7407">
      <w:pPr>
        <w:spacing w:line="560" w:lineRule="exact"/>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秦皇岛市休闲船艇管理规定</w:t>
      </w:r>
    </w:p>
    <w:p w:rsidR="00925518" w:rsidRDefault="00CC7407" w:rsidP="00CC7407">
      <w:pPr>
        <w:spacing w:beforeLines="100" w:before="312"/>
        <w:ind w:firstLineChars="200" w:firstLine="640"/>
        <w:rPr>
          <w:rFonts w:ascii="楷体" w:eastAsia="楷体" w:cs="仿宋_GB2312"/>
          <w:sz w:val="32"/>
          <w:szCs w:val="32"/>
        </w:rPr>
      </w:pPr>
      <w:r>
        <w:rPr>
          <w:rFonts w:ascii="楷体" w:eastAsia="楷体" w:cs="仿宋_GB2312" w:hint="eastAsia"/>
          <w:sz w:val="32"/>
          <w:szCs w:val="32"/>
        </w:rPr>
        <w:t>（2022年7月6日秦皇岛市人民政府令第2号公布  自2022年8月5日起施行。）</w:t>
      </w:r>
    </w:p>
    <w:p w:rsidR="00925518" w:rsidRDefault="00925518">
      <w:pPr>
        <w:spacing w:line="560" w:lineRule="exact"/>
        <w:ind w:firstLineChars="200" w:firstLine="640"/>
        <w:rPr>
          <w:rFonts w:ascii="宋体" w:cs="宋体"/>
          <w:sz w:val="32"/>
          <w:szCs w:val="32"/>
        </w:rPr>
      </w:pPr>
    </w:p>
    <w:p w:rsidR="00CC7407" w:rsidRDefault="00CC7407" w:rsidP="00CC7407">
      <w:pPr>
        <w:spacing w:line="580" w:lineRule="exact"/>
        <w:ind w:firstLineChars="200" w:firstLine="640"/>
        <w:rPr>
          <w:rFonts w:ascii="黑体" w:eastAsia="黑体" w:hAnsi="黑体" w:cs="黑体"/>
          <w:bCs/>
          <w:color w:val="000000"/>
          <w:sz w:val="32"/>
          <w:szCs w:val="32"/>
        </w:rPr>
      </w:pPr>
    </w:p>
    <w:p w:rsidR="00CC7407" w:rsidRPr="00CC7407" w:rsidRDefault="00CC7407" w:rsidP="00CC7407">
      <w:pPr>
        <w:spacing w:line="580" w:lineRule="exact"/>
        <w:ind w:firstLineChars="200" w:firstLine="640"/>
        <w:jc w:val="center"/>
        <w:rPr>
          <w:rFonts w:ascii="黑体" w:eastAsia="黑体" w:hAnsi="黑体" w:cs="仿宋"/>
          <w:bCs/>
          <w:color w:val="000000"/>
          <w:sz w:val="32"/>
          <w:szCs w:val="32"/>
        </w:rPr>
      </w:pPr>
      <w:r w:rsidRPr="00CC7407">
        <w:rPr>
          <w:rFonts w:ascii="黑体" w:eastAsia="黑体" w:hAnsi="黑体" w:cs="仿宋" w:hint="eastAsia"/>
          <w:bCs/>
          <w:color w:val="000000"/>
          <w:sz w:val="32"/>
          <w:szCs w:val="32"/>
        </w:rPr>
        <w:t>第一章</w:t>
      </w:r>
      <w:r w:rsidRPr="00CC7407">
        <w:rPr>
          <w:rFonts w:ascii="黑体" w:eastAsia="黑体" w:hAnsi="黑体" w:cs="仿宋" w:hint="eastAsia"/>
          <w:bCs/>
          <w:color w:val="000000"/>
          <w:sz w:val="32"/>
          <w:szCs w:val="32"/>
        </w:rPr>
        <w:tab/>
        <w:t>总则</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黑体" w:eastAsia="黑体" w:hAnsi="黑体" w:cs="仿宋" w:hint="eastAsia"/>
          <w:bCs/>
          <w:color w:val="000000"/>
          <w:sz w:val="32"/>
          <w:szCs w:val="32"/>
        </w:rPr>
        <w:t>第一条</w:t>
      </w:r>
      <w:r w:rsidRPr="00CC7407">
        <w:rPr>
          <w:rFonts w:ascii="仿宋" w:eastAsia="仿宋" w:hAnsi="仿宋" w:cs="仿宋" w:hint="eastAsia"/>
          <w:bCs/>
          <w:color w:val="000000"/>
          <w:sz w:val="32"/>
          <w:szCs w:val="32"/>
        </w:rPr>
        <w:t xml:space="preserve"> 为加强休闲船艇管理，促进休闲旅游健康发展，保障人民群众生命财产安全，根据有关法律法规规定，结合本市实际，制定本规定。</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黑体" w:eastAsia="黑体" w:hAnsi="黑体" w:cs="仿宋" w:hint="eastAsia"/>
          <w:bCs/>
          <w:color w:val="000000"/>
          <w:sz w:val="32"/>
          <w:szCs w:val="32"/>
        </w:rPr>
        <w:t>第二条</w:t>
      </w:r>
      <w:r w:rsidRPr="00CC7407">
        <w:rPr>
          <w:rFonts w:ascii="仿宋" w:eastAsia="仿宋" w:hAnsi="仿宋" w:cs="仿宋" w:hint="eastAsia"/>
          <w:bCs/>
          <w:color w:val="000000"/>
          <w:sz w:val="32"/>
          <w:szCs w:val="32"/>
        </w:rPr>
        <w:t xml:space="preserve"> 在本市海域内，使用游艇、体育运动船艇、海上游乐设施等船艇从事游览观光、体育运动、休闲娱乐等水上活动及其监督管理适用本规定。</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黑体" w:eastAsia="黑体" w:hAnsi="黑体" w:cs="仿宋" w:hint="eastAsia"/>
          <w:bCs/>
          <w:color w:val="000000"/>
          <w:sz w:val="32"/>
          <w:szCs w:val="32"/>
        </w:rPr>
        <w:t>第三条</w:t>
      </w:r>
      <w:r w:rsidRPr="00CC7407">
        <w:rPr>
          <w:rFonts w:ascii="仿宋" w:eastAsia="仿宋" w:hAnsi="仿宋" w:cs="仿宋" w:hint="eastAsia"/>
          <w:bCs/>
          <w:color w:val="000000"/>
          <w:sz w:val="32"/>
          <w:szCs w:val="32"/>
        </w:rPr>
        <w:t xml:space="preserve"> 休闲船艇管理坚持安全有序、属地管理、绿色节能、科学发展的原则，促进海域通航环境持续改善，实现社会效益和生态效益相统一。</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黑体" w:eastAsia="黑体" w:hAnsi="黑体" w:cs="仿宋" w:hint="eastAsia"/>
          <w:bCs/>
          <w:color w:val="000000"/>
          <w:sz w:val="32"/>
          <w:szCs w:val="32"/>
        </w:rPr>
        <w:t>第四条</w:t>
      </w:r>
      <w:r w:rsidRPr="00CC7407">
        <w:rPr>
          <w:rFonts w:ascii="仿宋" w:eastAsia="仿宋" w:hAnsi="仿宋" w:cs="仿宋" w:hint="eastAsia"/>
          <w:bCs/>
          <w:color w:val="000000"/>
          <w:sz w:val="32"/>
          <w:szCs w:val="32"/>
        </w:rPr>
        <w:t xml:space="preserve"> 市、县（区）人民政府应当加强对休闲船艇管理工作的领导，建立健全休闲船艇管理工作协调机制，保障休闲船艇管理所需的人员和装备等经费投入。</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仿宋" w:eastAsia="仿宋" w:hAnsi="仿宋" w:cs="仿宋" w:hint="eastAsia"/>
          <w:bCs/>
          <w:color w:val="000000"/>
          <w:sz w:val="32"/>
          <w:szCs w:val="32"/>
        </w:rPr>
        <w:t>本规定所称县、区包括秦皇岛经济技术开发区和北戴河新区。</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黑体" w:eastAsia="黑体" w:hAnsi="黑体" w:cs="仿宋" w:hint="eastAsia"/>
          <w:bCs/>
          <w:color w:val="000000"/>
          <w:sz w:val="32"/>
          <w:szCs w:val="32"/>
        </w:rPr>
        <w:lastRenderedPageBreak/>
        <w:t>第五条</w:t>
      </w:r>
      <w:r w:rsidRPr="00CC7407">
        <w:rPr>
          <w:rFonts w:ascii="仿宋" w:eastAsia="仿宋" w:hAnsi="仿宋" w:cs="仿宋" w:hint="eastAsia"/>
          <w:bCs/>
          <w:color w:val="000000"/>
          <w:sz w:val="32"/>
          <w:szCs w:val="32"/>
        </w:rPr>
        <w:t xml:space="preserve"> 市海洋渔业主管部门及其各城市区直属机构和县（区）人民政府确定的部门（以下统称为海洋渔业主管部门）负责全市及辖区休闲</w:t>
      </w:r>
      <w:proofErr w:type="gramStart"/>
      <w:r w:rsidRPr="00CC7407">
        <w:rPr>
          <w:rFonts w:ascii="仿宋" w:eastAsia="仿宋" w:hAnsi="仿宋" w:cs="仿宋" w:hint="eastAsia"/>
          <w:bCs/>
          <w:color w:val="000000"/>
          <w:sz w:val="32"/>
          <w:szCs w:val="32"/>
        </w:rPr>
        <w:t>船艇靠</w:t>
      </w:r>
      <w:proofErr w:type="gramEnd"/>
      <w:r w:rsidRPr="00CC7407">
        <w:rPr>
          <w:rFonts w:ascii="仿宋" w:eastAsia="仿宋" w:hAnsi="仿宋" w:cs="仿宋" w:hint="eastAsia"/>
          <w:bCs/>
          <w:color w:val="000000"/>
          <w:sz w:val="32"/>
          <w:szCs w:val="32"/>
        </w:rPr>
        <w:t>泊管理和水路客运经营活动管理。</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仿宋" w:eastAsia="仿宋" w:hAnsi="仿宋" w:cs="仿宋" w:hint="eastAsia"/>
          <w:bCs/>
          <w:color w:val="000000"/>
          <w:sz w:val="32"/>
          <w:szCs w:val="32"/>
        </w:rPr>
        <w:t>海事管理机构依法负责辖区内水上交通安全和防治污染海洋环境的监督管理。</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仿宋" w:eastAsia="仿宋" w:hAnsi="仿宋" w:cs="仿宋" w:hint="eastAsia"/>
          <w:bCs/>
          <w:color w:val="000000"/>
          <w:sz w:val="32"/>
          <w:szCs w:val="32"/>
        </w:rPr>
        <w:t>体育主管部门负责体育运动类船艇民办非企业单位的设立前审查、体育运动船艇的管理、体育运动从业者的技术培训和体育运动船艇训练、比赛期间的海上交通安全监督管理。</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仿宋" w:eastAsia="仿宋" w:hAnsi="仿宋" w:cs="仿宋" w:hint="eastAsia"/>
          <w:bCs/>
          <w:color w:val="000000"/>
          <w:sz w:val="32"/>
          <w:szCs w:val="32"/>
        </w:rPr>
        <w:t>旅游主管部门负责景区内海上游乐设施旅游经营活动管理，对参与休闲船艇旅游活动的旅行社进行监督管理。</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仿宋" w:eastAsia="仿宋" w:hAnsi="仿宋" w:cs="仿宋" w:hint="eastAsia"/>
          <w:bCs/>
          <w:color w:val="000000"/>
          <w:sz w:val="32"/>
          <w:szCs w:val="32"/>
        </w:rPr>
        <w:t>公安海防管理部门负责休闲船艇和人员信息登记备案、治安检查、管理以及海（岛屿）岸线以内公安机关管辖的违法犯罪行为查处工作。</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仿宋" w:eastAsia="仿宋" w:hAnsi="仿宋" w:cs="仿宋" w:hint="eastAsia"/>
          <w:bCs/>
          <w:color w:val="000000"/>
          <w:sz w:val="32"/>
          <w:szCs w:val="32"/>
        </w:rPr>
        <w:t>行政审批部门负责体育运动类船艇民办非企业单位、社会团体、培训学校的登记工作。</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仿宋" w:eastAsia="仿宋" w:hAnsi="仿宋" w:cs="仿宋" w:hint="eastAsia"/>
          <w:bCs/>
          <w:color w:val="000000"/>
          <w:sz w:val="32"/>
          <w:szCs w:val="32"/>
        </w:rPr>
        <w:t>发展改革、生态环境、应急管理、城市管理、市场监管、民政、卫生健康等部门，应当按照各自职责，做好休闲船艇管理的相关工作。</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黑体" w:eastAsia="黑体" w:hAnsi="黑体" w:cs="仿宋" w:hint="eastAsia"/>
          <w:bCs/>
          <w:color w:val="000000"/>
          <w:sz w:val="32"/>
          <w:szCs w:val="32"/>
        </w:rPr>
        <w:t>第六条</w:t>
      </w:r>
      <w:r w:rsidRPr="00CC7407">
        <w:rPr>
          <w:rFonts w:ascii="仿宋" w:eastAsia="仿宋" w:hAnsi="仿宋" w:cs="仿宋" w:hint="eastAsia"/>
          <w:bCs/>
          <w:color w:val="000000"/>
          <w:sz w:val="32"/>
          <w:szCs w:val="32"/>
        </w:rPr>
        <w:t xml:space="preserve"> 鼓励休闲船艇所有人、从业经营人加入相关行业协会。</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仿宋" w:eastAsia="仿宋" w:hAnsi="仿宋" w:cs="仿宋" w:hint="eastAsia"/>
          <w:bCs/>
          <w:color w:val="000000"/>
          <w:sz w:val="32"/>
          <w:szCs w:val="32"/>
        </w:rPr>
        <w:t>行业协会根据行业发展要求，开展服务质量考核、统计</w:t>
      </w:r>
      <w:r w:rsidRPr="00CC7407">
        <w:rPr>
          <w:rFonts w:ascii="仿宋" w:eastAsia="仿宋" w:hAnsi="仿宋" w:cs="仿宋" w:hint="eastAsia"/>
          <w:bCs/>
          <w:color w:val="000000"/>
          <w:sz w:val="32"/>
          <w:szCs w:val="32"/>
        </w:rPr>
        <w:lastRenderedPageBreak/>
        <w:t>分析、提供信息咨询等活动，充分发挥行业自律作用。</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黑体" w:eastAsia="黑体" w:hAnsi="黑体" w:cs="仿宋" w:hint="eastAsia"/>
          <w:bCs/>
          <w:color w:val="000000"/>
          <w:sz w:val="32"/>
          <w:szCs w:val="32"/>
        </w:rPr>
        <w:t>第七条</w:t>
      </w:r>
      <w:r w:rsidRPr="00CC7407">
        <w:rPr>
          <w:rFonts w:ascii="仿宋" w:eastAsia="仿宋" w:hAnsi="仿宋" w:cs="仿宋" w:hint="eastAsia"/>
          <w:bCs/>
          <w:color w:val="000000"/>
          <w:sz w:val="32"/>
          <w:szCs w:val="32"/>
        </w:rPr>
        <w:t xml:space="preserve"> 休闲船艇应当遵循绿色节能理念，鼓励使用新型清洁能源动力船艇。</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仿宋" w:eastAsia="仿宋" w:hAnsi="仿宋" w:cs="仿宋" w:hint="eastAsia"/>
          <w:bCs/>
          <w:color w:val="000000"/>
          <w:sz w:val="32"/>
          <w:szCs w:val="32"/>
        </w:rPr>
        <w:t>敞开式、IV类和V类游艇、体育运动船艇推进器总功率原则上不得超过75千瓦。</w:t>
      </w:r>
    </w:p>
    <w:p w:rsidR="00CC7407" w:rsidRPr="00CC7407" w:rsidRDefault="00CC7407" w:rsidP="00CC7407">
      <w:pPr>
        <w:spacing w:line="580" w:lineRule="exact"/>
        <w:ind w:firstLineChars="200" w:firstLine="640"/>
        <w:jc w:val="center"/>
        <w:rPr>
          <w:rFonts w:ascii="黑体" w:eastAsia="黑体" w:hAnsi="黑体" w:cs="仿宋"/>
          <w:bCs/>
          <w:color w:val="000000"/>
          <w:sz w:val="32"/>
          <w:szCs w:val="32"/>
        </w:rPr>
      </w:pPr>
      <w:r w:rsidRPr="00CC7407">
        <w:rPr>
          <w:rFonts w:ascii="黑体" w:eastAsia="黑体" w:hAnsi="黑体" w:cs="仿宋" w:hint="eastAsia"/>
          <w:bCs/>
          <w:color w:val="000000"/>
          <w:sz w:val="32"/>
          <w:szCs w:val="32"/>
        </w:rPr>
        <w:t>第二章 统筹管理</w:t>
      </w:r>
    </w:p>
    <w:p w:rsidR="00CC7407" w:rsidRPr="00CC7407" w:rsidRDefault="00CC7407" w:rsidP="00CC7407">
      <w:pPr>
        <w:spacing w:line="580" w:lineRule="exact"/>
        <w:ind w:firstLineChars="200" w:firstLine="640"/>
        <w:jc w:val="center"/>
        <w:rPr>
          <w:rFonts w:ascii="黑体" w:eastAsia="黑体" w:hAnsi="黑体" w:cs="仿宋"/>
          <w:bCs/>
          <w:color w:val="000000"/>
          <w:sz w:val="32"/>
          <w:szCs w:val="32"/>
        </w:rPr>
      </w:pP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黑体" w:eastAsia="黑体" w:hAnsi="黑体" w:cs="仿宋" w:hint="eastAsia"/>
          <w:bCs/>
          <w:color w:val="000000"/>
          <w:sz w:val="32"/>
          <w:szCs w:val="32"/>
        </w:rPr>
        <w:t>第八条</w:t>
      </w:r>
      <w:r w:rsidRPr="00CC7407">
        <w:rPr>
          <w:rFonts w:ascii="仿宋" w:eastAsia="仿宋" w:hAnsi="仿宋" w:cs="仿宋" w:hint="eastAsia"/>
          <w:bCs/>
          <w:color w:val="000000"/>
          <w:sz w:val="32"/>
          <w:szCs w:val="32"/>
        </w:rPr>
        <w:t xml:space="preserve"> 海洋渔业、海事、体育、旅游等主管部门应当及时发布本市休闲船艇分布状况报告，引导行业有序发展。</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黑体" w:eastAsia="黑体" w:hAnsi="黑体" w:cs="仿宋" w:hint="eastAsia"/>
          <w:bCs/>
          <w:color w:val="000000"/>
          <w:sz w:val="32"/>
          <w:szCs w:val="32"/>
        </w:rPr>
        <w:t>第九条</w:t>
      </w:r>
      <w:r w:rsidRPr="00CC7407">
        <w:rPr>
          <w:rFonts w:ascii="仿宋" w:eastAsia="仿宋" w:hAnsi="仿宋" w:cs="仿宋" w:hint="eastAsia"/>
          <w:bCs/>
          <w:color w:val="000000"/>
          <w:sz w:val="32"/>
          <w:szCs w:val="32"/>
        </w:rPr>
        <w:t xml:space="preserve"> 县（区）人民政府应当结合辖区旅游资源、岸线资源、陆域交通状况、通航条件、码头安全条件等，组织同级海洋渔业、海事、体育、旅游等主管部门开展辖区休闲船艇容量综合评估，合理布局。</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黑体" w:eastAsia="黑体" w:hAnsi="黑体" w:cs="仿宋" w:hint="eastAsia"/>
          <w:bCs/>
          <w:color w:val="000000"/>
          <w:sz w:val="32"/>
          <w:szCs w:val="32"/>
        </w:rPr>
        <w:t>第十条</w:t>
      </w:r>
      <w:r w:rsidRPr="00CC7407">
        <w:rPr>
          <w:rFonts w:ascii="仿宋" w:eastAsia="仿宋" w:hAnsi="仿宋" w:cs="仿宋" w:hint="eastAsia"/>
          <w:bCs/>
          <w:color w:val="000000"/>
          <w:sz w:val="32"/>
          <w:szCs w:val="32"/>
        </w:rPr>
        <w:t xml:space="preserve"> 休闲船艇的所有人或者从业经营人使用岸线，应当征求所在地县（区）人民政府或者其确定部门的意见。</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仿宋" w:eastAsia="仿宋" w:hAnsi="仿宋" w:cs="仿宋" w:hint="eastAsia"/>
          <w:bCs/>
          <w:color w:val="000000"/>
          <w:sz w:val="32"/>
          <w:szCs w:val="32"/>
        </w:rPr>
        <w:t>市海洋渔业主管部门应当定期对符合用海要求的休闲船艇使用岸线名录进行公布。</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黑体" w:eastAsia="黑体" w:hAnsi="黑体" w:cs="仿宋" w:hint="eastAsia"/>
          <w:bCs/>
          <w:color w:val="000000"/>
          <w:sz w:val="32"/>
          <w:szCs w:val="32"/>
        </w:rPr>
        <w:t xml:space="preserve">第十一条 </w:t>
      </w:r>
      <w:r w:rsidRPr="00CC7407">
        <w:rPr>
          <w:rFonts w:ascii="仿宋" w:eastAsia="仿宋" w:hAnsi="仿宋" w:cs="仿宋" w:hint="eastAsia"/>
          <w:bCs/>
          <w:color w:val="000000"/>
          <w:sz w:val="32"/>
          <w:szCs w:val="32"/>
        </w:rPr>
        <w:t>游艇的航行范围应当符合《游艇安全管理规定》，体育运动船艇、海上游乐设施的活动水域应当符合安全要求，由县（区）人民政府或者其确定的部门商同级海洋渔业、海事、体育、旅游等部门确定，并对外公布。</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仿宋" w:eastAsia="仿宋" w:hAnsi="仿宋" w:cs="仿宋" w:hint="eastAsia"/>
          <w:bCs/>
          <w:color w:val="000000"/>
          <w:sz w:val="32"/>
          <w:szCs w:val="32"/>
        </w:rPr>
        <w:t>休闲船艇航行水域涉及交通功能区域规划和交通资源利用的，县（区）人民政府应当征求海事管理机构意见，并</w:t>
      </w:r>
      <w:r w:rsidRPr="00CC7407">
        <w:rPr>
          <w:rFonts w:ascii="仿宋" w:eastAsia="仿宋" w:hAnsi="仿宋" w:cs="仿宋" w:hint="eastAsia"/>
          <w:bCs/>
          <w:color w:val="000000"/>
          <w:sz w:val="32"/>
          <w:szCs w:val="32"/>
        </w:rPr>
        <w:lastRenderedPageBreak/>
        <w:t>遵守《秦皇岛市海水浴场管理条例》《秦皇岛市海岸线保护条例》的相关规定。</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仿宋" w:eastAsia="仿宋" w:hAnsi="仿宋" w:cs="仿宋" w:hint="eastAsia"/>
          <w:bCs/>
          <w:color w:val="000000"/>
          <w:sz w:val="32"/>
          <w:szCs w:val="32"/>
        </w:rPr>
        <w:t>休闲船艇从业经营人应当对活动水域进行安全评估。</w:t>
      </w:r>
    </w:p>
    <w:p w:rsidR="00CC7407" w:rsidRPr="00CC7407" w:rsidRDefault="00CC7407" w:rsidP="00CC7407">
      <w:pPr>
        <w:spacing w:line="580" w:lineRule="exact"/>
        <w:ind w:firstLineChars="200" w:firstLine="640"/>
        <w:jc w:val="center"/>
        <w:rPr>
          <w:rFonts w:ascii="黑体" w:eastAsia="黑体" w:hAnsi="黑体" w:cs="仿宋"/>
          <w:bCs/>
          <w:color w:val="000000"/>
          <w:sz w:val="32"/>
          <w:szCs w:val="32"/>
        </w:rPr>
      </w:pPr>
      <w:r w:rsidRPr="00CC7407">
        <w:rPr>
          <w:rFonts w:ascii="黑体" w:eastAsia="黑体" w:hAnsi="黑体" w:cs="仿宋" w:hint="eastAsia"/>
          <w:bCs/>
          <w:color w:val="000000"/>
          <w:sz w:val="32"/>
          <w:szCs w:val="32"/>
        </w:rPr>
        <w:t>第三章 经营管理</w:t>
      </w:r>
    </w:p>
    <w:p w:rsidR="00CC7407" w:rsidRPr="00CC7407" w:rsidRDefault="00CC7407" w:rsidP="00CC7407">
      <w:pPr>
        <w:spacing w:line="580" w:lineRule="exact"/>
        <w:ind w:firstLineChars="200" w:firstLine="640"/>
        <w:jc w:val="center"/>
        <w:rPr>
          <w:rFonts w:ascii="黑体" w:eastAsia="黑体" w:hAnsi="黑体" w:cs="仿宋"/>
          <w:bCs/>
          <w:color w:val="000000"/>
          <w:sz w:val="32"/>
          <w:szCs w:val="32"/>
        </w:rPr>
      </w:pP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黑体" w:eastAsia="黑体" w:hAnsi="黑体" w:cs="仿宋" w:hint="eastAsia"/>
          <w:bCs/>
          <w:color w:val="000000"/>
          <w:sz w:val="32"/>
          <w:szCs w:val="32"/>
        </w:rPr>
        <w:t>第十二条</w:t>
      </w:r>
      <w:r w:rsidRPr="00CC7407">
        <w:rPr>
          <w:rFonts w:ascii="仿宋" w:eastAsia="仿宋" w:hAnsi="仿宋" w:cs="仿宋" w:hint="eastAsia"/>
          <w:bCs/>
          <w:color w:val="000000"/>
          <w:sz w:val="32"/>
          <w:szCs w:val="32"/>
        </w:rPr>
        <w:t xml:space="preserve"> 使用体育运动船艇开展技术培训，应当符合民办非企业单位、相关协会、培训学校的设立审查条件并办理登记手续。</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黑体" w:eastAsia="黑体" w:hAnsi="黑体" w:cs="仿宋" w:hint="eastAsia"/>
          <w:bCs/>
          <w:color w:val="000000"/>
          <w:sz w:val="32"/>
          <w:szCs w:val="32"/>
        </w:rPr>
        <w:t xml:space="preserve">第十三条 </w:t>
      </w:r>
      <w:r w:rsidRPr="00CC7407">
        <w:rPr>
          <w:rFonts w:ascii="仿宋" w:eastAsia="仿宋" w:hAnsi="仿宋" w:cs="仿宋" w:hint="eastAsia"/>
          <w:bCs/>
          <w:color w:val="000000"/>
          <w:sz w:val="32"/>
          <w:szCs w:val="32"/>
        </w:rPr>
        <w:t>使用海上游乐设施从事旅游经营活动，应当按照国家有关规定取得经营许可，制定应急预案，并对可能存在的风险明确告示。</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黑体" w:eastAsia="黑体" w:hAnsi="黑体" w:cs="仿宋" w:hint="eastAsia"/>
          <w:bCs/>
          <w:color w:val="000000"/>
          <w:sz w:val="32"/>
          <w:szCs w:val="32"/>
        </w:rPr>
        <w:t>第十四条</w:t>
      </w:r>
      <w:r w:rsidRPr="00CC7407">
        <w:rPr>
          <w:rFonts w:ascii="仿宋" w:eastAsia="仿宋" w:hAnsi="仿宋" w:cs="仿宋" w:hint="eastAsia"/>
          <w:bCs/>
          <w:color w:val="000000"/>
          <w:sz w:val="32"/>
          <w:szCs w:val="32"/>
        </w:rPr>
        <w:t xml:space="preserve"> 游艇、体育运动船艇改变原有属性，从事水路客运经营活动，应当按照国家、省有关营运船舶的管理规定办理船舶登记、船舶检验和船舶营运许可、备案等手续。</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黑体" w:eastAsia="黑体" w:hAnsi="黑体" w:cs="仿宋" w:hint="eastAsia"/>
          <w:bCs/>
          <w:color w:val="000000"/>
          <w:sz w:val="32"/>
          <w:szCs w:val="32"/>
        </w:rPr>
        <w:t>第十五条</w:t>
      </w:r>
      <w:r w:rsidRPr="00CC7407">
        <w:rPr>
          <w:rFonts w:ascii="仿宋" w:eastAsia="仿宋" w:hAnsi="仿宋" w:cs="仿宋" w:hint="eastAsia"/>
          <w:bCs/>
          <w:color w:val="000000"/>
          <w:sz w:val="32"/>
          <w:szCs w:val="32"/>
        </w:rPr>
        <w:t xml:space="preserve"> 使用体育运动船艇、海上游乐设施从事经营性休闲活动的，应当向体育、旅游主管部门或者属地相关管理部门提交船艇信息、拟停靠的码头（停泊点）、安全警示标识以及标识设置信息等材料。</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仿宋" w:eastAsia="仿宋" w:hAnsi="仿宋" w:cs="仿宋" w:hint="eastAsia"/>
          <w:bCs/>
          <w:color w:val="000000"/>
          <w:sz w:val="32"/>
          <w:szCs w:val="32"/>
        </w:rPr>
        <w:t>有关主管部门应当开展经营条件符合性核查，定期发布全市从事休闲船艇活动的从业经营人及其符合经营条件的休闲船艇名录。</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黑体" w:eastAsia="黑体" w:hAnsi="黑体" w:cs="仿宋" w:hint="eastAsia"/>
          <w:bCs/>
          <w:color w:val="000000"/>
          <w:sz w:val="32"/>
          <w:szCs w:val="32"/>
        </w:rPr>
        <w:t>第十六条</w:t>
      </w:r>
      <w:r w:rsidRPr="00CC7407">
        <w:rPr>
          <w:rFonts w:ascii="仿宋" w:eastAsia="仿宋" w:hAnsi="仿宋" w:cs="仿宋" w:hint="eastAsia"/>
          <w:bCs/>
          <w:color w:val="000000"/>
          <w:sz w:val="32"/>
          <w:szCs w:val="32"/>
        </w:rPr>
        <w:t xml:space="preserve"> 体育运动船艇、海上游乐设施从业经营人应当履行下列义务：</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仿宋" w:eastAsia="仿宋" w:hAnsi="仿宋" w:cs="仿宋" w:hint="eastAsia"/>
          <w:bCs/>
          <w:color w:val="000000"/>
          <w:sz w:val="32"/>
          <w:szCs w:val="32"/>
        </w:rPr>
        <w:lastRenderedPageBreak/>
        <w:t>（一）建立并落实安全管理制度，配备安全管理人员、操作人员和救生人员；</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仿宋" w:eastAsia="仿宋" w:hAnsi="仿宋" w:cs="仿宋" w:hint="eastAsia"/>
          <w:bCs/>
          <w:color w:val="000000"/>
          <w:sz w:val="32"/>
          <w:szCs w:val="32"/>
        </w:rPr>
        <w:t>（二）对休闲船艇装备进行维护和保养，开航前应当进行船、机、电设备安全检查，确保适航；</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仿宋" w:eastAsia="仿宋" w:hAnsi="仿宋" w:cs="仿宋" w:hint="eastAsia"/>
          <w:bCs/>
          <w:color w:val="000000"/>
          <w:sz w:val="32"/>
          <w:szCs w:val="32"/>
        </w:rPr>
        <w:t>（三）航行水域距岸最远不得超过5海里；</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仿宋" w:eastAsia="仿宋" w:hAnsi="仿宋" w:cs="仿宋" w:hint="eastAsia"/>
          <w:bCs/>
          <w:color w:val="000000"/>
          <w:sz w:val="32"/>
          <w:szCs w:val="32"/>
        </w:rPr>
        <w:t>（四）晚上八时至次日六时不得出海航行；</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仿宋" w:eastAsia="仿宋" w:hAnsi="仿宋" w:cs="仿宋" w:hint="eastAsia"/>
          <w:bCs/>
          <w:color w:val="000000"/>
          <w:sz w:val="32"/>
          <w:szCs w:val="32"/>
        </w:rPr>
        <w:t>（五）在经营场所显著位置设立公示牌，对从业经营人、船艇信息、检验信息、安全须知等内容进行公示；</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仿宋" w:eastAsia="仿宋" w:hAnsi="仿宋" w:cs="仿宋" w:hint="eastAsia"/>
          <w:bCs/>
          <w:color w:val="000000"/>
          <w:sz w:val="32"/>
          <w:szCs w:val="32"/>
        </w:rPr>
        <w:t>（六）针对休闲船艇特性、辖区通航环境限制设置安全警示标志，对正确使用相关设施、设备的方法，对必要的安全防范、应急措施和安全救生知识进行演示说明；</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仿宋" w:eastAsia="仿宋" w:hAnsi="仿宋" w:cs="仿宋" w:hint="eastAsia"/>
          <w:bCs/>
          <w:color w:val="000000"/>
          <w:sz w:val="32"/>
          <w:szCs w:val="32"/>
        </w:rPr>
        <w:t>（七）配备满足安全生产需要的应急救援船舶，并定期组织事故应急演练，应急救援船舶应当在船身显著位置标明用途，不得从事应急救援以外的活动；</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仿宋" w:eastAsia="仿宋" w:hAnsi="仿宋" w:cs="仿宋" w:hint="eastAsia"/>
          <w:bCs/>
          <w:color w:val="000000"/>
          <w:sz w:val="32"/>
          <w:szCs w:val="32"/>
        </w:rPr>
        <w:t>（八）按照有关规定购买相关责任保险。</w:t>
      </w:r>
    </w:p>
    <w:p w:rsidR="00CC7407" w:rsidRPr="00CC7407" w:rsidRDefault="00CC7407" w:rsidP="00CC7407">
      <w:pPr>
        <w:spacing w:line="580" w:lineRule="exact"/>
        <w:ind w:firstLineChars="200" w:firstLine="640"/>
        <w:jc w:val="center"/>
        <w:rPr>
          <w:rFonts w:ascii="黑体" w:eastAsia="黑体" w:hAnsi="黑体" w:cs="仿宋"/>
          <w:bCs/>
          <w:color w:val="000000"/>
          <w:sz w:val="32"/>
          <w:szCs w:val="32"/>
        </w:rPr>
      </w:pPr>
      <w:r w:rsidRPr="00CC7407">
        <w:rPr>
          <w:rFonts w:ascii="黑体" w:eastAsia="黑体" w:hAnsi="黑体" w:cs="仿宋" w:hint="eastAsia"/>
          <w:bCs/>
          <w:color w:val="000000"/>
          <w:sz w:val="32"/>
          <w:szCs w:val="32"/>
        </w:rPr>
        <w:t>第四章 安全管理</w:t>
      </w:r>
    </w:p>
    <w:p w:rsidR="00CC7407" w:rsidRPr="00CC7407" w:rsidRDefault="00CC7407" w:rsidP="00CC7407">
      <w:pPr>
        <w:spacing w:line="580" w:lineRule="exact"/>
        <w:ind w:firstLineChars="200" w:firstLine="640"/>
        <w:jc w:val="center"/>
        <w:rPr>
          <w:rFonts w:ascii="黑体" w:eastAsia="黑体" w:hAnsi="黑体" w:cs="仿宋"/>
          <w:bCs/>
          <w:color w:val="000000"/>
          <w:sz w:val="32"/>
          <w:szCs w:val="32"/>
        </w:rPr>
      </w:pP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黑体" w:eastAsia="黑体" w:hAnsi="黑体" w:cs="仿宋" w:hint="eastAsia"/>
          <w:bCs/>
          <w:color w:val="000000"/>
          <w:sz w:val="32"/>
          <w:szCs w:val="32"/>
        </w:rPr>
        <w:t>第十七条</w:t>
      </w:r>
      <w:r w:rsidRPr="00CC7407">
        <w:rPr>
          <w:rFonts w:ascii="仿宋" w:eastAsia="仿宋" w:hAnsi="仿宋" w:cs="仿宋" w:hint="eastAsia"/>
          <w:bCs/>
          <w:color w:val="000000"/>
          <w:sz w:val="32"/>
          <w:szCs w:val="32"/>
        </w:rPr>
        <w:t xml:space="preserve"> 休闲船艇的所有人或者从业经营人是安全生产责任主体，应当建立并落实安全生产责任、安全生产管理台</w:t>
      </w:r>
      <w:proofErr w:type="gramStart"/>
      <w:r w:rsidRPr="00CC7407">
        <w:rPr>
          <w:rFonts w:ascii="仿宋" w:eastAsia="仿宋" w:hAnsi="仿宋" w:cs="仿宋" w:hint="eastAsia"/>
          <w:bCs/>
          <w:color w:val="000000"/>
          <w:sz w:val="32"/>
          <w:szCs w:val="32"/>
        </w:rPr>
        <w:t>账以及</w:t>
      </w:r>
      <w:proofErr w:type="gramEnd"/>
      <w:r w:rsidRPr="00CC7407">
        <w:rPr>
          <w:rFonts w:ascii="仿宋" w:eastAsia="仿宋" w:hAnsi="仿宋" w:cs="仿宋" w:hint="eastAsia"/>
          <w:bCs/>
          <w:color w:val="000000"/>
          <w:sz w:val="32"/>
          <w:szCs w:val="32"/>
        </w:rPr>
        <w:t>事故隐患排查、治理、防控等制度，制定突发事故应急预案，定期组织开展应急演练，配合相关管理部门开展安全检查。</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黑体" w:eastAsia="黑体" w:hAnsi="黑体" w:cs="仿宋" w:hint="eastAsia"/>
          <w:bCs/>
          <w:color w:val="000000"/>
          <w:sz w:val="32"/>
          <w:szCs w:val="32"/>
        </w:rPr>
        <w:t>第十八条</w:t>
      </w:r>
      <w:r w:rsidRPr="00CC7407">
        <w:rPr>
          <w:rFonts w:ascii="仿宋" w:eastAsia="仿宋" w:hAnsi="仿宋" w:cs="仿宋" w:hint="eastAsia"/>
          <w:bCs/>
          <w:color w:val="000000"/>
          <w:sz w:val="32"/>
          <w:szCs w:val="32"/>
        </w:rPr>
        <w:t xml:space="preserve"> 游艇应当符合《游艇安全管理规定》、海事管</w:t>
      </w:r>
      <w:r w:rsidRPr="00CC7407">
        <w:rPr>
          <w:rFonts w:ascii="仿宋" w:eastAsia="仿宋" w:hAnsi="仿宋" w:cs="仿宋" w:hint="eastAsia"/>
          <w:bCs/>
          <w:color w:val="000000"/>
          <w:sz w:val="32"/>
          <w:szCs w:val="32"/>
        </w:rPr>
        <w:lastRenderedPageBreak/>
        <w:t>理机构登记条件和国内船舶检验机构检验要求；体育运动船艇、海上游乐设施等船艇应当符合国家标准或者行业标准，具备出厂合格证明或者适航证书文件，配套场地、设施等应当符合安全标准。</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黑体" w:eastAsia="黑体" w:hAnsi="黑体" w:cs="仿宋" w:hint="eastAsia"/>
          <w:bCs/>
          <w:color w:val="000000"/>
          <w:sz w:val="32"/>
          <w:szCs w:val="32"/>
        </w:rPr>
        <w:t>第十九条</w:t>
      </w:r>
      <w:r w:rsidRPr="00CC7407">
        <w:rPr>
          <w:rFonts w:ascii="仿宋" w:eastAsia="仿宋" w:hAnsi="仿宋" w:cs="仿宋" w:hint="eastAsia"/>
          <w:bCs/>
          <w:color w:val="000000"/>
          <w:sz w:val="32"/>
          <w:szCs w:val="32"/>
        </w:rPr>
        <w:t xml:space="preserve"> 休闲船艇出航期间，应当按照规定随船携带船舶证书或者船艇出厂合格证明、适航证书等文件，船员应当携带技术资质证书。</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黑体" w:eastAsia="黑体" w:hAnsi="黑体" w:cs="仿宋" w:hint="eastAsia"/>
          <w:bCs/>
          <w:color w:val="000000"/>
          <w:sz w:val="32"/>
          <w:szCs w:val="32"/>
        </w:rPr>
        <w:t>第二十条</w:t>
      </w:r>
      <w:r w:rsidRPr="00CC7407">
        <w:rPr>
          <w:rFonts w:ascii="仿宋" w:eastAsia="仿宋" w:hAnsi="仿宋" w:cs="仿宋" w:hint="eastAsia"/>
          <w:bCs/>
          <w:color w:val="000000"/>
          <w:sz w:val="32"/>
          <w:szCs w:val="32"/>
        </w:rPr>
        <w:t xml:space="preserve"> 休闲船艇的所有人或者从业经营人应当按照检验要求或者行业标准，配备符合要求的救生、消防、通讯、轨迹定位等应急设备；没有相关配备要求或者标准的，应当落实有关安全措施。</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仿宋" w:eastAsia="仿宋" w:hAnsi="仿宋" w:cs="仿宋" w:hint="eastAsia"/>
          <w:bCs/>
          <w:color w:val="000000"/>
          <w:sz w:val="32"/>
          <w:szCs w:val="32"/>
        </w:rPr>
        <w:t>游艇应当配备具有自动识别功能的设施设备和符合要求的VHF设备。自动识别功能保持开启，VHF设备保持连续守听，并听从船舶交通管理中心指挥。</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黑体" w:eastAsia="黑体" w:hAnsi="黑体" w:cs="仿宋" w:hint="eastAsia"/>
          <w:bCs/>
          <w:color w:val="000000"/>
          <w:sz w:val="32"/>
          <w:szCs w:val="32"/>
        </w:rPr>
        <w:t>第二十一条</w:t>
      </w:r>
      <w:r w:rsidRPr="00CC7407">
        <w:rPr>
          <w:rFonts w:ascii="仿宋" w:eastAsia="仿宋" w:hAnsi="仿宋" w:cs="仿宋" w:hint="eastAsia"/>
          <w:bCs/>
          <w:color w:val="000000"/>
          <w:sz w:val="32"/>
          <w:szCs w:val="32"/>
        </w:rPr>
        <w:t xml:space="preserve"> 休闲船艇航行时，应当遵守有关法律法规规章以及强制性标准和技术规范要求，并遵守下列规定:</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仿宋" w:eastAsia="仿宋" w:hAnsi="仿宋" w:cs="仿宋" w:hint="eastAsia"/>
          <w:bCs/>
          <w:color w:val="000000"/>
          <w:sz w:val="32"/>
          <w:szCs w:val="32"/>
        </w:rPr>
        <w:t>（一）军事管制要求和政府、行业主管部门的</w:t>
      </w:r>
      <w:proofErr w:type="gramStart"/>
      <w:r w:rsidRPr="00CC7407">
        <w:rPr>
          <w:rFonts w:ascii="仿宋" w:eastAsia="仿宋" w:hAnsi="仿宋" w:cs="仿宋" w:hint="eastAsia"/>
          <w:bCs/>
          <w:color w:val="000000"/>
          <w:sz w:val="32"/>
          <w:szCs w:val="32"/>
        </w:rPr>
        <w:t>禁限航要求</w:t>
      </w:r>
      <w:proofErr w:type="gramEnd"/>
      <w:r w:rsidRPr="00CC7407">
        <w:rPr>
          <w:rFonts w:ascii="仿宋" w:eastAsia="仿宋" w:hAnsi="仿宋" w:cs="仿宋" w:hint="eastAsia"/>
          <w:bCs/>
          <w:color w:val="000000"/>
          <w:sz w:val="32"/>
          <w:szCs w:val="32"/>
        </w:rPr>
        <w:t>；</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仿宋" w:eastAsia="仿宋" w:hAnsi="仿宋" w:cs="仿宋" w:hint="eastAsia"/>
          <w:bCs/>
          <w:color w:val="000000"/>
          <w:sz w:val="32"/>
          <w:szCs w:val="32"/>
        </w:rPr>
        <w:t>（二）符合主机功率限制要求，采用安全航速航行；</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仿宋" w:eastAsia="仿宋" w:hAnsi="仿宋" w:cs="仿宋" w:hint="eastAsia"/>
          <w:bCs/>
          <w:color w:val="000000"/>
          <w:sz w:val="32"/>
          <w:szCs w:val="32"/>
        </w:rPr>
        <w:t>（三）在限定的水域范围内活动，不得随意改变航线，不得超航区航行；</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仿宋" w:eastAsia="仿宋" w:hAnsi="仿宋" w:cs="仿宋" w:hint="eastAsia"/>
          <w:bCs/>
          <w:color w:val="000000"/>
          <w:sz w:val="32"/>
          <w:szCs w:val="32"/>
        </w:rPr>
        <w:t>（四）不得在船舶证书载明禁航期、限制区以及风力、浪高</w:t>
      </w:r>
      <w:proofErr w:type="gramStart"/>
      <w:r w:rsidRPr="00CC7407">
        <w:rPr>
          <w:rFonts w:ascii="仿宋" w:eastAsia="仿宋" w:hAnsi="仿宋" w:cs="仿宋" w:hint="eastAsia"/>
          <w:bCs/>
          <w:color w:val="000000"/>
          <w:sz w:val="32"/>
          <w:szCs w:val="32"/>
        </w:rPr>
        <w:t>达技术</w:t>
      </w:r>
      <w:proofErr w:type="gramEnd"/>
      <w:r w:rsidRPr="00CC7407">
        <w:rPr>
          <w:rFonts w:ascii="仿宋" w:eastAsia="仿宋" w:hAnsi="仿宋" w:cs="仿宋" w:hint="eastAsia"/>
          <w:bCs/>
          <w:color w:val="000000"/>
          <w:sz w:val="32"/>
          <w:szCs w:val="32"/>
        </w:rPr>
        <w:t xml:space="preserve">限制条件航行； </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仿宋" w:eastAsia="仿宋" w:hAnsi="仿宋" w:cs="仿宋" w:hint="eastAsia"/>
          <w:bCs/>
          <w:color w:val="000000"/>
          <w:sz w:val="32"/>
          <w:szCs w:val="32"/>
        </w:rPr>
        <w:lastRenderedPageBreak/>
        <w:t>（五）不得在不符合安全条件的码头、岸线安排人员上下；</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仿宋" w:eastAsia="仿宋" w:hAnsi="仿宋" w:cs="仿宋" w:hint="eastAsia"/>
          <w:bCs/>
          <w:color w:val="000000"/>
          <w:sz w:val="32"/>
          <w:szCs w:val="32"/>
        </w:rPr>
        <w:t>（六）不得超过核定乘员航行；</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仿宋" w:eastAsia="仿宋" w:hAnsi="仿宋" w:cs="仿宋" w:hint="eastAsia"/>
          <w:bCs/>
          <w:color w:val="000000"/>
          <w:sz w:val="32"/>
          <w:szCs w:val="32"/>
        </w:rPr>
        <w:t>（七）未经批准的，不得拖曳空中或者水面设施；</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仿宋" w:eastAsia="仿宋" w:hAnsi="仿宋" w:cs="仿宋" w:hint="eastAsia"/>
          <w:bCs/>
          <w:color w:val="000000"/>
          <w:sz w:val="32"/>
          <w:szCs w:val="32"/>
        </w:rPr>
        <w:t>（八）出港前对乘员进行安全教育，并指导乘员规范穿着救生衣;</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仿宋" w:eastAsia="仿宋" w:hAnsi="仿宋" w:cs="仿宋" w:hint="eastAsia"/>
          <w:bCs/>
          <w:color w:val="000000"/>
          <w:sz w:val="32"/>
          <w:szCs w:val="32"/>
        </w:rPr>
        <w:t>（九）严禁操作人员酒后驾驶或者疲劳驾驶；</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仿宋" w:eastAsia="仿宋" w:hAnsi="仿宋" w:cs="仿宋" w:hint="eastAsia"/>
          <w:bCs/>
          <w:color w:val="000000"/>
          <w:sz w:val="32"/>
          <w:szCs w:val="32"/>
        </w:rPr>
        <w:t>（十）其他航行安全规定。</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黑体" w:eastAsia="黑体" w:hAnsi="黑体" w:cs="仿宋" w:hint="eastAsia"/>
          <w:bCs/>
          <w:color w:val="000000"/>
          <w:sz w:val="32"/>
          <w:szCs w:val="32"/>
        </w:rPr>
        <w:t>第二十二条</w:t>
      </w:r>
      <w:r w:rsidRPr="00CC7407">
        <w:rPr>
          <w:rFonts w:ascii="仿宋" w:eastAsia="仿宋" w:hAnsi="仿宋" w:cs="仿宋" w:hint="eastAsia"/>
          <w:bCs/>
          <w:color w:val="000000"/>
          <w:sz w:val="32"/>
          <w:szCs w:val="32"/>
        </w:rPr>
        <w:t xml:space="preserve"> 休闲船艇停靠、上下游客的码头应当符合《秦皇岛市游船游艇码头管理规定》的相关要求，游艇专用停泊水域或者停泊</w:t>
      </w:r>
      <w:proofErr w:type="gramStart"/>
      <w:r w:rsidRPr="00CC7407">
        <w:rPr>
          <w:rFonts w:ascii="仿宋" w:eastAsia="仿宋" w:hAnsi="仿宋" w:cs="仿宋" w:hint="eastAsia"/>
          <w:bCs/>
          <w:color w:val="000000"/>
          <w:sz w:val="32"/>
          <w:szCs w:val="32"/>
        </w:rPr>
        <w:t>点应当</w:t>
      </w:r>
      <w:proofErr w:type="gramEnd"/>
      <w:r w:rsidRPr="00CC7407">
        <w:rPr>
          <w:rFonts w:ascii="仿宋" w:eastAsia="仿宋" w:hAnsi="仿宋" w:cs="仿宋" w:hint="eastAsia"/>
          <w:bCs/>
          <w:color w:val="000000"/>
          <w:sz w:val="32"/>
          <w:szCs w:val="32"/>
        </w:rPr>
        <w:t>经海事管理机构公布。</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仿宋" w:eastAsia="仿宋" w:hAnsi="仿宋" w:cs="仿宋" w:hint="eastAsia"/>
          <w:bCs/>
          <w:color w:val="000000"/>
          <w:sz w:val="32"/>
          <w:szCs w:val="32"/>
        </w:rPr>
        <w:t>休闲船艇从业经营人使用非自有码头或者浮动设施的，需要与码头或者浮动设施的所有人或者经营人签订安全生产管理协议，明确各自的安全生产管理职责和应当采取的安全措施。</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黑体" w:eastAsia="黑体" w:hAnsi="黑体" w:cs="仿宋" w:hint="eastAsia"/>
          <w:bCs/>
          <w:color w:val="000000"/>
          <w:sz w:val="32"/>
          <w:szCs w:val="32"/>
        </w:rPr>
        <w:t>第二十三条</w:t>
      </w:r>
      <w:r w:rsidRPr="00CC7407">
        <w:rPr>
          <w:rFonts w:ascii="仿宋" w:eastAsia="仿宋" w:hAnsi="仿宋" w:cs="仿宋" w:hint="eastAsia"/>
          <w:bCs/>
          <w:color w:val="000000"/>
          <w:sz w:val="32"/>
          <w:szCs w:val="32"/>
        </w:rPr>
        <w:t xml:space="preserve"> 休闲船艇不得在主航道、锚地、禁航区、安全作业区附近以及海事管理机构公布的禁止停泊的水域内停泊。</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仿宋" w:eastAsia="仿宋" w:hAnsi="仿宋" w:cs="仿宋" w:hint="eastAsia"/>
          <w:bCs/>
          <w:color w:val="000000"/>
          <w:sz w:val="32"/>
          <w:szCs w:val="32"/>
        </w:rPr>
        <w:t>在航行中确需临时停泊的，应当在不妨碍其他船舶航行、停泊、作业的水域停泊。</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黑体" w:eastAsia="黑体" w:hAnsi="黑体" w:cs="仿宋" w:hint="eastAsia"/>
          <w:bCs/>
          <w:color w:val="000000"/>
          <w:sz w:val="32"/>
          <w:szCs w:val="32"/>
        </w:rPr>
        <w:t>第二十四条</w:t>
      </w:r>
      <w:r w:rsidRPr="00CC7407">
        <w:rPr>
          <w:rFonts w:ascii="仿宋" w:eastAsia="仿宋" w:hAnsi="仿宋" w:cs="仿宋" w:hint="eastAsia"/>
          <w:bCs/>
          <w:color w:val="000000"/>
          <w:sz w:val="32"/>
          <w:szCs w:val="32"/>
        </w:rPr>
        <w:t xml:space="preserve"> 休闲船艇的所有人或者从业经营人应当按照规定，在办理主管部门行业手续后，将有关船舶和人员信息报公安海防管理部门登记备案。</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仿宋" w:eastAsia="仿宋" w:hAnsi="仿宋" w:cs="仿宋" w:hint="eastAsia"/>
          <w:bCs/>
          <w:color w:val="000000"/>
          <w:sz w:val="32"/>
          <w:szCs w:val="32"/>
        </w:rPr>
        <w:lastRenderedPageBreak/>
        <w:t>公安海防管理部门应当与海洋渔业、海事、体育、旅游等主管部门建立船舶和人员登记备案信息共享机制。</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黑体" w:eastAsia="黑体" w:hAnsi="黑体" w:cs="仿宋" w:hint="eastAsia"/>
          <w:bCs/>
          <w:color w:val="000000"/>
          <w:sz w:val="32"/>
          <w:szCs w:val="32"/>
        </w:rPr>
        <w:t>第二十五条</w:t>
      </w:r>
      <w:r w:rsidRPr="00CC7407">
        <w:rPr>
          <w:rFonts w:ascii="仿宋" w:eastAsia="仿宋" w:hAnsi="仿宋" w:cs="仿宋" w:hint="eastAsia"/>
          <w:bCs/>
          <w:color w:val="000000"/>
          <w:sz w:val="32"/>
          <w:szCs w:val="32"/>
        </w:rPr>
        <w:t xml:space="preserve"> 游艇、体育运动船艇在本市海域内活动，应按照有关规定分别向预计驶离或者抵达地海事管理机构或者体育主管部门报告，并向公安海防管理部门备案。</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黑体" w:eastAsia="黑体" w:hAnsi="黑体" w:cs="仿宋" w:hint="eastAsia"/>
          <w:bCs/>
          <w:color w:val="000000"/>
          <w:sz w:val="32"/>
          <w:szCs w:val="32"/>
        </w:rPr>
        <w:t>第二十六条</w:t>
      </w:r>
      <w:r w:rsidRPr="00CC7407">
        <w:rPr>
          <w:rFonts w:ascii="仿宋" w:eastAsia="仿宋" w:hAnsi="仿宋" w:cs="仿宋" w:hint="eastAsia"/>
          <w:bCs/>
          <w:color w:val="000000"/>
          <w:sz w:val="32"/>
          <w:szCs w:val="32"/>
        </w:rPr>
        <w:t xml:space="preserve"> 严禁使用无船名船号、无船舶证书、无船籍港的“三无”船舶开展休闲船艇经营活动以及任何水上航行、停泊、作业。</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黑体" w:eastAsia="黑体" w:hAnsi="黑体" w:cs="仿宋" w:hint="eastAsia"/>
          <w:bCs/>
          <w:color w:val="000000"/>
          <w:sz w:val="32"/>
          <w:szCs w:val="32"/>
        </w:rPr>
        <w:t>第二十七条</w:t>
      </w:r>
      <w:r w:rsidRPr="00CC7407">
        <w:rPr>
          <w:rFonts w:ascii="仿宋" w:eastAsia="仿宋" w:hAnsi="仿宋" w:cs="仿宋" w:hint="eastAsia"/>
          <w:bCs/>
          <w:color w:val="000000"/>
          <w:sz w:val="32"/>
          <w:szCs w:val="32"/>
        </w:rPr>
        <w:t xml:space="preserve"> 休闲船艇的所有人或者从业经营人应当遵守国家和地方制定的传染性疾病防控政策，落实各项防控措施。</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黑体" w:eastAsia="黑体" w:hAnsi="黑体" w:cs="仿宋" w:hint="eastAsia"/>
          <w:bCs/>
          <w:color w:val="000000"/>
          <w:sz w:val="32"/>
          <w:szCs w:val="32"/>
        </w:rPr>
        <w:t>第二十八条</w:t>
      </w:r>
      <w:r w:rsidRPr="00CC7407">
        <w:rPr>
          <w:rFonts w:ascii="仿宋" w:eastAsia="仿宋" w:hAnsi="仿宋" w:cs="仿宋" w:hint="eastAsia"/>
          <w:bCs/>
          <w:color w:val="000000"/>
          <w:sz w:val="32"/>
          <w:szCs w:val="32"/>
        </w:rPr>
        <w:t xml:space="preserve"> 游艇、体育运动船艇的所有人或者从业经营人应当遵守有关防治船舶污染海洋环境的法律法规规章的规定，对航行过程中产生的含油污水、生活污水、生活垃圾和其他固体废弃物等污染物，应当按规定分类储存保管，留存相应的记录与单证，到岸后交由有资质单位接收、转运和处置，不得向水域排放。</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仿宋" w:eastAsia="仿宋" w:hAnsi="仿宋" w:cs="仿宋" w:hint="eastAsia"/>
          <w:bCs/>
          <w:color w:val="000000"/>
          <w:sz w:val="32"/>
          <w:szCs w:val="32"/>
        </w:rPr>
        <w:t>海上游乐设施的从业经营人，应当及时清理经营区域内沙滩和水体内的垃圾，保持沙滩和水体清洁。</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黑体" w:eastAsia="黑体" w:hAnsi="黑体" w:cs="仿宋" w:hint="eastAsia"/>
          <w:bCs/>
          <w:color w:val="000000"/>
          <w:sz w:val="32"/>
          <w:szCs w:val="32"/>
        </w:rPr>
        <w:t>第二十九条</w:t>
      </w:r>
      <w:r w:rsidRPr="00CC7407">
        <w:rPr>
          <w:rFonts w:ascii="仿宋" w:eastAsia="仿宋" w:hAnsi="仿宋" w:cs="仿宋" w:hint="eastAsia"/>
          <w:bCs/>
          <w:color w:val="000000"/>
          <w:sz w:val="32"/>
          <w:szCs w:val="32"/>
        </w:rPr>
        <w:t xml:space="preserve"> 游艇加装燃油应当符合国家和河北省规定标准，并遵守《河北省人民代表大会常务委员会关于加强船舶大气污染防治的若干规定》《秦皇岛市船舶大气污染防治暂行办法（2021修正）》的相关规定。</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黑体" w:eastAsia="黑体" w:hAnsi="黑体" w:cs="仿宋" w:hint="eastAsia"/>
          <w:bCs/>
          <w:color w:val="000000"/>
          <w:sz w:val="32"/>
          <w:szCs w:val="32"/>
        </w:rPr>
        <w:lastRenderedPageBreak/>
        <w:t>第三十条</w:t>
      </w:r>
      <w:r w:rsidRPr="00CC7407">
        <w:rPr>
          <w:rFonts w:ascii="仿宋" w:eastAsia="仿宋" w:hAnsi="仿宋" w:cs="仿宋" w:hint="eastAsia"/>
          <w:bCs/>
          <w:color w:val="000000"/>
          <w:sz w:val="32"/>
          <w:szCs w:val="32"/>
        </w:rPr>
        <w:t xml:space="preserve"> 休闲船艇遇险或者发生水上交通事故、污染事故，应当立即启动应急预案，其所有人、操作人员以及其他乘员应当先行自救并立即向海上搜救中心报告。</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仿宋" w:eastAsia="仿宋" w:hAnsi="仿宋" w:cs="仿宋" w:hint="eastAsia"/>
          <w:bCs/>
          <w:color w:val="000000"/>
          <w:sz w:val="32"/>
          <w:szCs w:val="32"/>
        </w:rPr>
        <w:t>休闲船艇发生海上险情构成水上交通事故、污染事故的，相关主管部门应开展事故调查，休闲船艇的所有人、操作人员应当配合事故调查。</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黑体" w:eastAsia="黑体" w:hAnsi="黑体" w:cs="仿宋" w:hint="eastAsia"/>
          <w:bCs/>
          <w:color w:val="000000"/>
          <w:sz w:val="32"/>
          <w:szCs w:val="32"/>
        </w:rPr>
        <w:t>第三十一条</w:t>
      </w:r>
      <w:r w:rsidRPr="00CC7407">
        <w:rPr>
          <w:rFonts w:ascii="仿宋" w:eastAsia="仿宋" w:hAnsi="仿宋" w:cs="仿宋" w:hint="eastAsia"/>
          <w:bCs/>
          <w:color w:val="000000"/>
          <w:sz w:val="32"/>
          <w:szCs w:val="32"/>
        </w:rPr>
        <w:t xml:space="preserve"> 海洋渔业、海事、体育、旅游、公安海防等管理部门应当定期联合开展执法检查。</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仿宋" w:eastAsia="仿宋" w:hAnsi="仿宋" w:cs="仿宋" w:hint="eastAsia"/>
          <w:bCs/>
          <w:color w:val="000000"/>
          <w:sz w:val="32"/>
          <w:szCs w:val="32"/>
        </w:rPr>
        <w:t>相关行政主管部门在监督检查时发现违法行为不属于本部门管辖的，应当及时固定证据并移送有管辖权的行政主管部门依法处理。</w:t>
      </w:r>
    </w:p>
    <w:p w:rsidR="00CC7407" w:rsidRPr="00CC7407" w:rsidRDefault="00CC7407" w:rsidP="00CC7407">
      <w:pPr>
        <w:spacing w:line="580" w:lineRule="exact"/>
        <w:ind w:firstLineChars="200" w:firstLine="640"/>
        <w:jc w:val="center"/>
        <w:rPr>
          <w:rFonts w:ascii="黑体" w:eastAsia="黑体" w:hAnsi="黑体" w:cs="仿宋"/>
          <w:bCs/>
          <w:color w:val="000000"/>
          <w:sz w:val="32"/>
          <w:szCs w:val="32"/>
        </w:rPr>
      </w:pPr>
      <w:r w:rsidRPr="00CC7407">
        <w:rPr>
          <w:rFonts w:ascii="黑体" w:eastAsia="黑体" w:hAnsi="黑体" w:cs="仿宋" w:hint="eastAsia"/>
          <w:bCs/>
          <w:color w:val="000000"/>
          <w:sz w:val="32"/>
          <w:szCs w:val="32"/>
        </w:rPr>
        <w:t>第五章 法律责任</w:t>
      </w:r>
    </w:p>
    <w:p w:rsidR="00CC7407" w:rsidRPr="00CC7407" w:rsidRDefault="00CC7407" w:rsidP="00CC7407">
      <w:pPr>
        <w:spacing w:line="580" w:lineRule="exact"/>
        <w:ind w:firstLineChars="200" w:firstLine="640"/>
        <w:jc w:val="center"/>
        <w:rPr>
          <w:rFonts w:ascii="黑体" w:eastAsia="黑体" w:hAnsi="黑体" w:cs="仿宋"/>
          <w:bCs/>
          <w:color w:val="000000"/>
          <w:sz w:val="32"/>
          <w:szCs w:val="32"/>
        </w:rPr>
      </w:pP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黑体" w:eastAsia="黑体" w:hAnsi="黑体" w:cs="仿宋" w:hint="eastAsia"/>
          <w:bCs/>
          <w:color w:val="000000"/>
          <w:sz w:val="32"/>
          <w:szCs w:val="32"/>
        </w:rPr>
        <w:t>第三十二条</w:t>
      </w:r>
      <w:r w:rsidRPr="00CC7407">
        <w:rPr>
          <w:rFonts w:ascii="仿宋" w:eastAsia="仿宋" w:hAnsi="仿宋" w:cs="仿宋" w:hint="eastAsia"/>
          <w:bCs/>
          <w:color w:val="000000"/>
          <w:sz w:val="32"/>
          <w:szCs w:val="32"/>
        </w:rPr>
        <w:t xml:space="preserve"> 行政主管部门工作人员玩忽职守、滥用职权、徇私舞弊的，依法给予行政处分；构成犯罪的，依法追究刑事责任。</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黑体" w:eastAsia="黑体" w:hAnsi="黑体" w:cs="仿宋" w:hint="eastAsia"/>
          <w:bCs/>
          <w:color w:val="000000"/>
          <w:sz w:val="32"/>
          <w:szCs w:val="32"/>
        </w:rPr>
        <w:t>第三十三条</w:t>
      </w:r>
      <w:r w:rsidRPr="00CC7407">
        <w:rPr>
          <w:rFonts w:ascii="仿宋" w:eastAsia="仿宋" w:hAnsi="仿宋" w:cs="仿宋" w:hint="eastAsia"/>
          <w:bCs/>
          <w:color w:val="000000"/>
          <w:sz w:val="32"/>
          <w:szCs w:val="32"/>
        </w:rPr>
        <w:t xml:space="preserve"> 违反本规定的行为，法律法规规章已有规定的，从其规定。</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黑体" w:eastAsia="黑体" w:hAnsi="黑体" w:cs="仿宋" w:hint="eastAsia"/>
          <w:bCs/>
          <w:color w:val="000000"/>
          <w:sz w:val="32"/>
          <w:szCs w:val="32"/>
        </w:rPr>
        <w:t>第三十四条</w:t>
      </w:r>
      <w:r w:rsidRPr="00CC7407">
        <w:rPr>
          <w:rFonts w:ascii="仿宋" w:eastAsia="仿宋" w:hAnsi="仿宋" w:cs="仿宋" w:hint="eastAsia"/>
          <w:bCs/>
          <w:color w:val="000000"/>
          <w:sz w:val="32"/>
          <w:szCs w:val="32"/>
        </w:rPr>
        <w:t xml:space="preserve"> 使用游艇擅自从事水路客运经营的，由海洋渔业主管部门责令限期改正，并处一万元以上二万元以下罚款。</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黑体" w:eastAsia="黑体" w:hAnsi="黑体" w:cs="仿宋" w:hint="eastAsia"/>
          <w:bCs/>
          <w:color w:val="000000"/>
          <w:sz w:val="32"/>
          <w:szCs w:val="32"/>
        </w:rPr>
        <w:t>第三十五条</w:t>
      </w:r>
      <w:r w:rsidRPr="00CC7407">
        <w:rPr>
          <w:rFonts w:ascii="仿宋" w:eastAsia="仿宋" w:hAnsi="仿宋" w:cs="仿宋" w:hint="eastAsia"/>
          <w:bCs/>
          <w:color w:val="000000"/>
          <w:sz w:val="32"/>
          <w:szCs w:val="32"/>
        </w:rPr>
        <w:t xml:space="preserve"> 违反本规定第十条第一款、第二十二条规定，擅自在沙滩、码头等区域停靠的，由海洋渔业主管部门</w:t>
      </w:r>
      <w:r w:rsidRPr="00CC7407">
        <w:rPr>
          <w:rFonts w:ascii="仿宋" w:eastAsia="仿宋" w:hAnsi="仿宋" w:cs="仿宋" w:hint="eastAsia"/>
          <w:bCs/>
          <w:color w:val="000000"/>
          <w:sz w:val="32"/>
          <w:szCs w:val="32"/>
        </w:rPr>
        <w:lastRenderedPageBreak/>
        <w:t>会同自然资源和规划、城市管理、公安等主管部门责令改正；拒不改正的，处五百元以下罚款。</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黑体" w:eastAsia="黑体" w:hAnsi="黑体" w:cs="仿宋" w:hint="eastAsia"/>
          <w:bCs/>
          <w:color w:val="000000"/>
          <w:sz w:val="32"/>
          <w:szCs w:val="32"/>
        </w:rPr>
        <w:t>第三十六条</w:t>
      </w:r>
      <w:r w:rsidRPr="00CC7407">
        <w:rPr>
          <w:rFonts w:ascii="仿宋" w:eastAsia="仿宋" w:hAnsi="仿宋" w:cs="仿宋" w:hint="eastAsia"/>
          <w:bCs/>
          <w:color w:val="000000"/>
          <w:sz w:val="32"/>
          <w:szCs w:val="32"/>
        </w:rPr>
        <w:t xml:space="preserve"> 体育运动船艇、海上游乐设施从业经营人未履行安全管理相关义务的，由体育主管部门、旅游主管部门、属地县（区）人民政府或者其确定的部门依法处理。</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黑体" w:eastAsia="黑体" w:hAnsi="黑体" w:cs="仿宋" w:hint="eastAsia"/>
          <w:bCs/>
          <w:color w:val="000000"/>
          <w:sz w:val="32"/>
          <w:szCs w:val="32"/>
        </w:rPr>
        <w:t>第三十七条</w:t>
      </w:r>
      <w:r w:rsidRPr="00CC7407">
        <w:rPr>
          <w:rFonts w:ascii="仿宋" w:eastAsia="仿宋" w:hAnsi="仿宋" w:cs="仿宋" w:hint="eastAsia"/>
          <w:bCs/>
          <w:color w:val="000000"/>
          <w:sz w:val="32"/>
          <w:szCs w:val="32"/>
        </w:rPr>
        <w:t xml:space="preserve"> 对非法改装建造、来源不清、不具备出厂合格证明或适航证书文件的五米以下活动船艇或者使用“三无”船舶从事非法活动的，由县（区）人民政府按照国家有关清理、取缔“三无”船舶规定进行认定并依法处置。</w:t>
      </w:r>
    </w:p>
    <w:p w:rsidR="00CC7407" w:rsidRPr="00CC7407" w:rsidRDefault="00CC7407" w:rsidP="00CC7407">
      <w:pPr>
        <w:spacing w:line="580" w:lineRule="exact"/>
        <w:ind w:firstLineChars="200" w:firstLine="640"/>
        <w:jc w:val="center"/>
        <w:rPr>
          <w:rFonts w:ascii="黑体" w:eastAsia="黑体" w:hAnsi="黑体" w:cs="仿宋"/>
          <w:bCs/>
          <w:color w:val="000000"/>
          <w:sz w:val="32"/>
          <w:szCs w:val="32"/>
        </w:rPr>
      </w:pPr>
      <w:r w:rsidRPr="00CC7407">
        <w:rPr>
          <w:rFonts w:ascii="黑体" w:eastAsia="黑体" w:hAnsi="黑体" w:cs="仿宋" w:hint="eastAsia"/>
          <w:bCs/>
          <w:color w:val="000000"/>
          <w:sz w:val="32"/>
          <w:szCs w:val="32"/>
        </w:rPr>
        <w:t>第六章 附则</w:t>
      </w:r>
    </w:p>
    <w:p w:rsidR="00CC7407" w:rsidRPr="00CC7407" w:rsidRDefault="00CC7407" w:rsidP="00CC7407">
      <w:pPr>
        <w:spacing w:line="580" w:lineRule="exact"/>
        <w:ind w:firstLineChars="200" w:firstLine="640"/>
        <w:jc w:val="center"/>
        <w:rPr>
          <w:rFonts w:ascii="黑体" w:eastAsia="黑体" w:hAnsi="黑体" w:cs="仿宋"/>
          <w:bCs/>
          <w:color w:val="000000"/>
          <w:sz w:val="32"/>
          <w:szCs w:val="32"/>
        </w:rPr>
      </w:pP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黑体" w:eastAsia="黑体" w:hAnsi="黑体" w:cs="仿宋" w:hint="eastAsia"/>
          <w:bCs/>
          <w:color w:val="000000"/>
          <w:sz w:val="32"/>
          <w:szCs w:val="32"/>
        </w:rPr>
        <w:t>第三十八条</w:t>
      </w:r>
      <w:r w:rsidRPr="00CC7407">
        <w:rPr>
          <w:rFonts w:ascii="仿宋" w:eastAsia="仿宋" w:hAnsi="仿宋" w:cs="仿宋" w:hint="eastAsia"/>
          <w:bCs/>
          <w:color w:val="000000"/>
          <w:sz w:val="32"/>
          <w:szCs w:val="32"/>
        </w:rPr>
        <w:t xml:space="preserve"> 本规定下列用语的含义:</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仿宋" w:eastAsia="仿宋" w:hAnsi="仿宋" w:cs="仿宋" w:hint="eastAsia"/>
          <w:bCs/>
          <w:color w:val="000000"/>
          <w:sz w:val="32"/>
          <w:szCs w:val="32"/>
        </w:rPr>
        <w:t>游艇是指仅限于游艇所有人自身用于游览观光、休闲娱乐等活动的具备机械推进动力装置的船舶。</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仿宋" w:eastAsia="仿宋" w:hAnsi="仿宋" w:cs="仿宋" w:hint="eastAsia"/>
          <w:bCs/>
          <w:color w:val="000000"/>
          <w:sz w:val="32"/>
          <w:szCs w:val="32"/>
        </w:rPr>
        <w:t>体育运动船艇是指使用帆船帆板、浆板、赛艇、皮划艇、冲浪板、摩托艇、冲浪艇等从事体育运动的船艇。</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仿宋" w:eastAsia="仿宋" w:hAnsi="仿宋" w:cs="仿宋" w:hint="eastAsia"/>
          <w:bCs/>
          <w:color w:val="000000"/>
          <w:sz w:val="32"/>
          <w:szCs w:val="32"/>
        </w:rPr>
        <w:t>海上游乐设施是指紧邻海岸线周边活动，承载游客进行旅游娱乐体验的载体，包括手摇船、脚踏船、水上自行车、碰碰船等。</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黑体" w:eastAsia="黑体" w:hAnsi="黑体" w:cs="仿宋" w:hint="eastAsia"/>
          <w:bCs/>
          <w:color w:val="000000"/>
          <w:sz w:val="32"/>
          <w:szCs w:val="32"/>
        </w:rPr>
        <w:t>第三十九条</w:t>
      </w:r>
      <w:r w:rsidRPr="00CC7407">
        <w:rPr>
          <w:rFonts w:ascii="仿宋" w:eastAsia="仿宋" w:hAnsi="仿宋" w:cs="仿宋" w:hint="eastAsia"/>
          <w:bCs/>
          <w:color w:val="000000"/>
          <w:sz w:val="32"/>
          <w:szCs w:val="32"/>
        </w:rPr>
        <w:t xml:space="preserve"> 船舶所有人自用的各类出海装置、外地来秦休闲船艇以及内河水域休闲船艇的管理参照本规定执行。</w:t>
      </w:r>
    </w:p>
    <w:p w:rsidR="00CC7407" w:rsidRPr="00CC7407" w:rsidRDefault="00CC7407" w:rsidP="00CC7407">
      <w:pPr>
        <w:spacing w:line="580" w:lineRule="exact"/>
        <w:ind w:firstLineChars="200" w:firstLine="640"/>
        <w:rPr>
          <w:rFonts w:ascii="仿宋" w:eastAsia="仿宋" w:hAnsi="仿宋" w:cs="仿宋"/>
          <w:bCs/>
          <w:color w:val="000000"/>
          <w:sz w:val="32"/>
          <w:szCs w:val="32"/>
        </w:rPr>
      </w:pPr>
      <w:r w:rsidRPr="00CC7407">
        <w:rPr>
          <w:rFonts w:ascii="仿宋" w:eastAsia="仿宋" w:hAnsi="仿宋" w:cs="仿宋" w:hint="eastAsia"/>
          <w:bCs/>
          <w:color w:val="000000"/>
          <w:sz w:val="32"/>
          <w:szCs w:val="32"/>
        </w:rPr>
        <w:t>属地县（区）人民政府或者其确定的部门依照本规定，具体实施景区外海上游乐设施管理，市海洋渔业主管部门应</w:t>
      </w:r>
      <w:r w:rsidRPr="00CC7407">
        <w:rPr>
          <w:rFonts w:ascii="仿宋" w:eastAsia="仿宋" w:hAnsi="仿宋" w:cs="仿宋" w:hint="eastAsia"/>
          <w:bCs/>
          <w:color w:val="000000"/>
          <w:sz w:val="32"/>
          <w:szCs w:val="32"/>
        </w:rPr>
        <w:lastRenderedPageBreak/>
        <w:t>当做好市级层面有关协调工作。</w:t>
      </w:r>
    </w:p>
    <w:p w:rsidR="00925518" w:rsidRDefault="00CC7407" w:rsidP="00CC7407">
      <w:pPr>
        <w:spacing w:line="580" w:lineRule="exact"/>
        <w:ind w:firstLineChars="200" w:firstLine="640"/>
      </w:pPr>
      <w:r w:rsidRPr="00CC7407">
        <w:rPr>
          <w:rFonts w:ascii="黑体" w:eastAsia="黑体" w:hAnsi="黑体" w:cs="仿宋" w:hint="eastAsia"/>
          <w:bCs/>
          <w:color w:val="000000"/>
          <w:sz w:val="32"/>
          <w:szCs w:val="32"/>
        </w:rPr>
        <w:t>第四十条</w:t>
      </w:r>
      <w:r w:rsidRPr="00CC7407">
        <w:rPr>
          <w:rFonts w:ascii="仿宋" w:eastAsia="仿宋" w:hAnsi="仿宋" w:cs="仿宋" w:hint="eastAsia"/>
          <w:bCs/>
          <w:color w:val="000000"/>
          <w:sz w:val="32"/>
          <w:szCs w:val="32"/>
        </w:rPr>
        <w:t xml:space="preserve"> 本规定自2022年8月5日起施行。</w:t>
      </w:r>
    </w:p>
    <w:p w:rsidR="00925518" w:rsidRDefault="00925518"/>
    <w:sectPr w:rsidR="0092551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A9C" w:rsidRDefault="00130A9C">
      <w:r>
        <w:separator/>
      </w:r>
    </w:p>
  </w:endnote>
  <w:endnote w:type="continuationSeparator" w:id="0">
    <w:p w:rsidR="00130A9C" w:rsidRDefault="0013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A33" w:rsidRDefault="00122A3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18" w:rsidRDefault="00130A9C">
    <w:pPr>
      <w:pStyle w:val="a4"/>
      <w:ind w:right="360" w:firstLine="360"/>
      <w:rPr>
        <w:rFonts w:ascii="宋体" w:hAnsi="宋体" w:cs="宋体"/>
        <w:b/>
        <w:bCs/>
        <w:color w:val="005192"/>
        <w:sz w:val="28"/>
        <w:szCs w:val="44"/>
      </w:rPr>
    </w:pPr>
    <w:r>
      <w:rPr>
        <w:noProof/>
      </w:rPr>
      <mc:AlternateContent>
        <mc:Choice Requires="wps">
          <w:drawing>
            <wp:anchor distT="0" distB="0" distL="114300" distR="114300" simplePos="0" relativeHeight="251659264" behindDoc="0" locked="0" layoutInCell="1" allowOverlap="1">
              <wp:simplePos x="0" y="0"/>
              <wp:positionH relativeFrom="margin">
                <wp:posOffset>4734560</wp:posOffset>
              </wp:positionH>
              <wp:positionV relativeFrom="paragraph">
                <wp:posOffset>-112395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25518" w:rsidRDefault="00130A9C">
                          <w:pPr>
                            <w:pStyle w:val="a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690BC2">
                            <w:rPr>
                              <w:noProof/>
                              <w:sz w:val="28"/>
                              <w:szCs w:val="28"/>
                            </w:rPr>
                            <w:t>11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72.8pt;margin-top:-8.8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" filled="f" fillcolor="white [3201]" stroked="f" strokeweight=".5pt">
              <v:textbox style="mso-fit-shape-to-text:t" inset="0,0,0,0">
                <w:txbxContent>
                  <w:p w:rsidR="00925518" w:rsidRDefault="00130A9C">
                    <w:pPr>
                      <w:pStyle w:val="a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690BC2">
                      <w:rPr>
                        <w:noProof/>
                        <w:sz w:val="28"/>
                        <w:szCs w:val="28"/>
                      </w:rPr>
                      <w:t>11</w:t>
                    </w:r>
                    <w:r>
                      <w:rPr>
                        <w:sz w:val="28"/>
                        <w:szCs w:val="28"/>
                      </w:rPr>
                      <w:fldChar w:fldCharType="end"/>
                    </w:r>
                    <w:r>
                      <w:rPr>
                        <w:sz w:val="28"/>
                        <w:szCs w:val="28"/>
                      </w:rPr>
                      <w:t xml:space="preserve"> —</w:t>
                    </w:r>
                  </w:p>
                </w:txbxContent>
              </v:textbox>
              <w10:wrap anchorx="margin"/>
            </v:shape>
          </w:pict>
        </mc:Fallback>
      </mc:AlternateContent>
    </w:r>
    <w:r>
      <w:rPr>
        <w:noProof/>
        <w:sz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167640</wp:posOffset>
              </wp:positionV>
              <wp:extent cx="5266055" cy="4445"/>
              <wp:effectExtent l="0" t="0" r="0" b="0"/>
              <wp:wrapNone/>
              <wp:docPr id="5" name="直接连接符 5"/>
              <wp:cNvGraphicFramePr/>
              <a:graphic xmlns:a="http://schemas.openxmlformats.org/drawingml/2006/main">
                <a:graphicData uri="http://schemas.microsoft.com/office/word/2010/wordprocessingShape">
                  <wps:wsp>
                    <wps:cNvCnPr/>
                    <wps:spPr>
                      <a:xfrm>
                        <a:off x="0" y="0"/>
                        <a:ext cx="5266055" cy="4445"/>
                      </a:xfrm>
                      <a:prstGeom prst="line">
                        <a:avLst/>
                      </a:prstGeom>
                      <a:noFill/>
                      <a:ln w="22225" cap="flat" cmpd="sng" algn="ctr">
                        <a:solidFill>
                          <a:srgbClr val="005192"/>
                        </a:solidFill>
                        <a:prstDash val="solid"/>
                        <a:miter lim="800000"/>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13.2pt;height:0.35pt;width:414.65pt;z-index:251662336;mso-width-relative:page;mso-height-relative:page;" filled="f" stroked="t" coordsize="21600,21600" o:gfxdata="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ayuldUAAAAGAQAADwAAAAAAAAABACAAAAAiAAAAZHJzL2Rvd25yZXYueG1sUEsBAhQAFAAAAAgA&#10;h07iQNk3N6jvAQAAwwMAAA4AAAAAAAAAAQAgAAAAJAEAAGRycy9lMm9Eb2MueG1sUEsFBgAAAAAG&#10;AAYAWQEAAIUFAAAAAA==&#10;">
              <v:fill on="f" focussize="0,0"/>
              <v:stroke weight="1.75pt" color="#005192" miterlimit="8" joinstyle="miter"/>
              <v:imagedata o:title=""/>
              <o:lock v:ext="edit" aspectratio="f"/>
            </v:line>
          </w:pict>
        </mc:Fallback>
      </mc:AlternateContent>
    </w:r>
  </w:p>
  <w:p w:rsidR="00925518" w:rsidRDefault="00130A9C">
    <w:pPr>
      <w:pStyle w:val="a4"/>
      <w:wordWrap w:val="0"/>
      <w:ind w:right="360" w:firstLine="360"/>
      <w:jc w:val="right"/>
    </w:pPr>
    <w:r>
      <w:rPr>
        <w:rFonts w:ascii="宋体" w:hAnsi="宋体" w:cs="宋体" w:hint="eastAsia"/>
        <w:b/>
        <w:bCs/>
        <w:color w:val="005192"/>
        <w:sz w:val="28"/>
        <w:szCs w:val="44"/>
      </w:rPr>
      <w:t xml:space="preserve">秦皇岛市人民政府发布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A33" w:rsidRDefault="00122A3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A9C" w:rsidRDefault="00130A9C">
      <w:r>
        <w:separator/>
      </w:r>
    </w:p>
  </w:footnote>
  <w:footnote w:type="continuationSeparator" w:id="0">
    <w:p w:rsidR="00130A9C" w:rsidRDefault="00130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A33" w:rsidRDefault="00122A3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18" w:rsidRDefault="00130A9C">
    <w:pPr>
      <w:ind w:firstLineChars="200" w:firstLine="643"/>
      <w:rPr>
        <w:rFonts w:ascii="宋体" w:hAnsi="宋体" w:cs="宋体"/>
        <w:b/>
        <w:bCs/>
        <w:color w:val="005192"/>
        <w:sz w:val="32"/>
        <w:szCs w:val="32"/>
      </w:rPr>
    </w:pPr>
    <w:r>
      <w:rPr>
        <w:rFonts w:ascii="宋体" w:hAnsi="宋体" w:cs="宋体" w:hint="eastAsia"/>
        <w:b/>
        <w:bCs/>
        <w:noProof/>
        <w:color w:val="005192"/>
        <w:sz w:val="32"/>
      </w:rPr>
      <w:drawing>
        <wp:anchor distT="0" distB="0" distL="114300" distR="114300" simplePos="0" relativeHeight="251660288" behindDoc="0" locked="0" layoutInCell="1" allowOverlap="1">
          <wp:simplePos x="0" y="0"/>
          <wp:positionH relativeFrom="column">
            <wp:posOffset>47625</wp:posOffset>
          </wp:positionH>
          <wp:positionV relativeFrom="paragraph">
            <wp:posOffset>-21590</wp:posOffset>
          </wp:positionV>
          <wp:extent cx="308610" cy="308610"/>
          <wp:effectExtent l="0" t="0" r="15240" b="15240"/>
          <wp:wrapTopAndBottom/>
          <wp:docPr id="2"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anchor>
      </w:drawing>
    </w:r>
    <w:r>
      <w:rPr>
        <w:rFonts w:ascii="宋体" w:hAnsi="宋体" w:cs="宋体" w:hint="eastAsia"/>
        <w:b/>
        <w:bCs/>
        <w:color w:val="005192"/>
        <w:sz w:val="32"/>
      </w:rPr>
      <w:t>秦皇岛市</w:t>
    </w:r>
    <w:r>
      <w:rPr>
        <w:rFonts w:ascii="宋体" w:hAnsi="宋体" w:cs="宋体" w:hint="eastAsia"/>
        <w:b/>
        <w:bCs/>
        <w:color w:val="005192"/>
        <w:sz w:val="32"/>
        <w:szCs w:val="32"/>
      </w:rPr>
      <w:t>人民政府规章</w:t>
    </w:r>
  </w:p>
  <w:p w:rsidR="00925518" w:rsidRDefault="00130A9C">
    <w:pPr>
      <w:pStyle w:val="a5"/>
    </w:pPr>
    <w:r>
      <w:rPr>
        <w:rFonts w:ascii="宋体" w:hAnsi="宋体" w:cs="宋体" w:hint="eastAsia"/>
        <w:b/>
        <w:bCs/>
        <w:noProof/>
        <w:color w:val="005192"/>
        <w:sz w:val="32"/>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118110</wp:posOffset>
              </wp:positionV>
              <wp:extent cx="5280025" cy="3175"/>
              <wp:effectExtent l="0" t="10795" r="15875" b="14605"/>
              <wp:wrapNone/>
              <wp:docPr id="4" name="直接连接符 4"/>
              <wp:cNvGraphicFramePr/>
              <a:graphic xmlns:a="http://schemas.openxmlformats.org/drawingml/2006/main">
                <a:graphicData uri="http://schemas.microsoft.com/office/word/2010/wordprocessingShape">
                  <wps:wsp>
                    <wps:cNvCnPr/>
                    <wps:spPr>
                      <a:xfrm>
                        <a:off x="4133850" y="864870"/>
                        <a:ext cx="5280025" cy="3175"/>
                      </a:xfrm>
                      <a:prstGeom prst="line">
                        <a:avLst/>
                      </a:prstGeom>
                      <a:noFill/>
                      <a:ln w="22225" cap="flat" cmpd="sng" algn="ctr">
                        <a:solidFill>
                          <a:srgbClr val="005192"/>
                        </a:solidFill>
                        <a:prstDash val="solid"/>
                        <a:miter lim="800000"/>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35pt;margin-top:9.3pt;height:0.25pt;width:415.75pt;z-index:251661312;mso-width-relative:page;mso-height-relative:page;" filled="f" stroked="t" coordsize="21600,21600" o:gfxdata="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Zj8A+1AAAAAcBAAAPAAAAAAAAAAEAIAAAACIAAABkcnMvZG93bnJldi54bWxQ&#10;SwECFAAUAAAACACHTuJAS2vgMPsBAADOAwAADgAAAAAAAAABACAAAAAjAQAAZHJzL2Uyb0RvYy54&#10;bWxQSwUGAAAAAAYABgBZAQAAkAUAAAAA&#10;">
              <v:fill on="f" focussize="0,0"/>
              <v:stroke weight="1.75pt" color="#005192" miterlimit="8" joinstyle="miter"/>
              <v:imagedata o:title=""/>
              <o:lock v:ext="edit" aspectratio="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A33" w:rsidRDefault="00122A3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docVars>
    <w:docVar w:name="commondata" w:val="eyJoZGlkIjoiNWI5NThmZjZlZTc4ZDRhOTBmNDc1NjA2ZjIzZmY2MzYifQ=="/>
  </w:docVars>
  <w:rsids>
    <w:rsidRoot w:val="00925518"/>
    <w:rsid w:val="00122A33"/>
    <w:rsid w:val="00130A9C"/>
    <w:rsid w:val="00690BC2"/>
    <w:rsid w:val="00925518"/>
    <w:rsid w:val="00A333FE"/>
    <w:rsid w:val="00CC7407"/>
    <w:rsid w:val="5238661D"/>
    <w:rsid w:val="57F84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200"/>
    </w:pPr>
  </w:style>
  <w:style w:type="paragraph" w:styleId="a3">
    <w:name w:val="Body Text Indent"/>
    <w:basedOn w:val="a"/>
    <w:pPr>
      <w:spacing w:after="120"/>
      <w:ind w:leftChars="200" w:left="200"/>
    </w:p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
    <w:name w:val="列出段落1"/>
    <w:basedOn w:val="a"/>
    <w:qFormat/>
    <w:pPr>
      <w:ind w:firstLineChars="200" w:firstLine="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200"/>
    </w:pPr>
  </w:style>
  <w:style w:type="paragraph" w:styleId="a3">
    <w:name w:val="Body Text Indent"/>
    <w:basedOn w:val="a"/>
    <w:pPr>
      <w:spacing w:after="120"/>
      <w:ind w:leftChars="200" w:left="200"/>
    </w:p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
    <w:name w:val="列出段落1"/>
    <w:basedOn w:val="a"/>
    <w:qFormat/>
    <w:pPr>
      <w:ind w:firstLineChars="200" w:firstLin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689</Words>
  <Characters>3929</Characters>
  <Application>Microsoft Office Word</Application>
  <DocSecurity>0</DocSecurity>
  <Lines>32</Lines>
  <Paragraphs>9</Paragraphs>
  <ScaleCrop>false</ScaleCrop>
  <Company>微软中国</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微软用户</cp:lastModifiedBy>
  <cp:revision>4</cp:revision>
  <cp:lastPrinted>2022-07-15T08:22:00Z</cp:lastPrinted>
  <dcterms:created xsi:type="dcterms:W3CDTF">2022-07-15T08:22:00Z</dcterms:created>
  <dcterms:modified xsi:type="dcterms:W3CDTF">2022-07-15T08:23:00Z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E0339A2B484C4808A34A420FEA1F3E71</vt:lpwstr>
  </property>
</Properties>
</file>