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8"/>
          <w:sz w:val="44"/>
          <w:szCs w:val="44"/>
          <w:shd w:val="clear" w:fill="FFFFFF"/>
        </w:rPr>
        <w:t>秦皇岛市启动规范市级党政机关房地产资产管理工作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</w:rPr>
        <w:t>5月12日，秦皇岛市委办公室、市政府办公室联合印发《秦皇岛市规范市级党政机关房地产资产管理工作方案》。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2"/>
          <w:szCs w:val="32"/>
          <w:shd w:val="clear" w:fill="FFFFFF"/>
        </w:rPr>
        <w:t>《方案》明确，自今年5月至11月底，由市机关事务管理局牵头，集中市直各相关职能部门力量，对全市市级党政机关（含参公单位）及所属垂管机构、派出机构、驻外机构的房地产资产底数及现状进行全面摸排，强力推动党政机关办公用房权属统一登记工作，对部分闲置的经营性房地产资产依法依规予以处置。同时，进一步完善党政机关办公用房管理制度体系，提升管理水平，确保国有资产安全和保值增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7386C"/>
    <w:rsid w:val="14813937"/>
    <w:rsid w:val="600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2021-08-12T01:43:00Z</dcterms:created>
  <dc:creator>admin2015008</dc:creator>
  <cp:lastModifiedBy>admin2015008</cp:lastModifiedBy>
  <cp:lastPrinted>2021-08-26T02:50:04Z</cp:lastPrinted>
  <dcterms:modified xsi:type="dcterms:W3CDTF">2021-08-26T02:50:08Z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