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802"/>
        <w:gridCol w:w="1052"/>
        <w:gridCol w:w="2909"/>
        <w:gridCol w:w="1045"/>
        <w:gridCol w:w="917"/>
        <w:gridCol w:w="3569"/>
        <w:gridCol w:w="3060"/>
        <w:gridCol w:w="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blHeader/>
        </w:trPr>
        <w:tc>
          <w:tcPr>
            <w:tcW w:w="526"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权力类型</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事项</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实施依据</w:t>
            </w:r>
          </w:p>
        </w:tc>
        <w:tc>
          <w:tcPr>
            <w:tcW w:w="1045"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省级</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主管部门</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责任事项</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追责情形</w:t>
            </w:r>
          </w:p>
        </w:tc>
        <w:tc>
          <w:tcPr>
            <w:tcW w:w="530"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对食品安全的抽样检验</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食品安全法》（中华人民共和国主席令第9号，2009.6.1施行,2021.4.29第二次修正并实施）第八十七条第一款“县级以上人民政府食品药品监督管理部门应当对食品进行定期或不定期的抽样检验，并依据有关规定公布检验结果，不得免检。”</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2.《食品安全抽样检验管理办法》（国家市场监督管理总局令第15号, 2019.10.01施行） 第三条第二款“县级以上地方市场监督管理部门负责组织开展本级食品安全抽样检验工作，并按照规定实施上级市场监督管理部门组织的食品安全抽样检验工作。</w:t>
            </w:r>
            <w:bookmarkStart w:id="0" w:name="_GoBack"/>
            <w:bookmarkEnd w:id="0"/>
            <w:r>
              <w:rPr>
                <w:rFonts w:hint="eastAsia" w:ascii="仿宋_GB2312" w:hAnsi="仿宋_GB2312" w:eastAsia="仿宋_GB2312" w:cs="仿宋_GB2312"/>
                <w:color w:val="000000"/>
                <w:sz w:val="18"/>
                <w:szCs w:val="18"/>
              </w:rPr>
              <w:t>”</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八条“国家市场监督管理总局根据食品安全监管工作的需要，制定全国性食品安全抽样检验年度计划。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1.制定抽检计划（方案）责任：根据上级市场监督管理部门制定的抽样检验年度计划并结合实际情况，制定本行政区域的食品安全抽样检验工作方案。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2.组织实施抽样检验。</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3.依据有关规定公布监督抽检结果。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4.涉及其他部门的不合格信息通报其他部门。</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5.其他法律法规规章等规定应履行的责任。</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市场监督管理部门及其工作人员有违反法律、法规以及《食品安全抽样检验管理办法》规定和有关纪律要求的。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商标侵权赔偿纠纷调解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商标法》（全国人大常委会令第10号，1983.3.1施行,2019.4.23第四次修正）第六十条三款“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中华人民共和国专利法》（中华人民共和国主席令第11号，1985.4.1施行,2008.12.27第三次修正）第八十一条“当事人请求处理专利侵权纠纷或者调解专利纠纷的，由被请求人所在地或者侵权行为地的管理专利工作的部门管辖。”</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1.受理责任：对符合法定受理条件的申请，依法受理。公示应当提交的材料，一次性告知补正材料，依法受理或不予受理（不予受理应当告知理由）。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2.调解责任：依据事实和法律以及双方陈述的意见，对纠纷进行调解。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3.终结责任：按当事人达成的调解意愿结案，不能达成调解协议或一方明确表示不愿调解的依据相关规定处理。</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1.对符合法定受理条件的纠纷无正当理由不予受理、推诿的。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2.在纠纷调解过程中不依据相关规定进行调解或徇私舞弊、私自接受管理对象财物的。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3.调解不能达成一致时未按规定处理的。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专利纠纷调解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专利法实施细则》（国务院令第306号，2001.7.1施行,2010.1.9第二次修订）第八十五条“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河北省专利条例》（1997年10月25日河北省第八届人民代表大会常务委员会第二十九次会议通过2017年9月28日河北省第十二届人民代表大会常务委员会第三十二次会议第二次修订）第二十一条“县级以上人民政府管理专利工作的部门负责查处本行政区域内的假冒专利案件，调解专利纠纷。”</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1.受理责任：对符合法定受理条件的申请，依法受理。公示应当提交的材料，一次性告知补正材料，依法受理或不予受理（不予受理应当告知理由）。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2.调解责任：依据事实和法律以及双方陈述的意见，对纠纷进行调解。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3.终结责任：按当事人达成的调解意愿结案，不能达成调解协议或一方明确表示不愿调解的依据相关规定处理。</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1.对符合法定受理条件的纠纷无正当理由不予受理、推诿的。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2.在纠纷调解过程中不依据相关规定进行调解或徇私舞弊、私自接受管理对象财物的。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3.调解不能达成一致时未按规定处理的。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特殊标志侵权赔偿纠纷调解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殊标志管理条例》（国务院令第202号，1996.7.13施行）第十七条“特殊标志所有人或者使用人发现特殊标志所有权或者使用权被侵害时,可以向侵权人所在地或者侵权行为发生地县级以上人民政府工商行政管理部门投诉；也可以直接向人民法院起诉。工商行政管理部门受理特殊标志侵权案件投诉的,应当依特殊标志所有人的请求。就侵权的民事赔偿主持调解；调解不成的,特殊标志所有人可以向人民法院起诉。”</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1.受理责任：对符合法定受理条件的申请，依法受理。公示应当提交的材料，一次性告知补正材料，依法受理或不予受理（不予受理应当告知理由）。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2.调解责任：依据事实和法律以及双方陈述的意见，对纠纷进行调解。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3.终结责任：按当事人达成的调解意愿结案，不能达成调解协议或一方明确表示不愿调解的依据相关规定处理。</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1.对符合法定受理条件的纠纷无正当理由不予受理、推诿的。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2.在纠纷调解过程中不依据相关规定进行调解或徇私舞弊、私自接受管理对象财物的。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3.调解不能达成一致时未按规定处理的。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奥林匹克标志侵权赔偿纠纷调解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《奥林匹克保护条例》（国务院令第345号，2002.2.4施行，2018.6.28修订)第十二条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进行处理的市场监督管理部门应当事人的请求，可以就侵犯奥林匹克标志专有权的赔偿数额进行调解；调解不成的，当事人可以依照《中华人民共和国民事诉讼法》向人民法院提起诉讼。”</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1.受理责任：对符合法定受理条件的申请，依法受理。公示应当提交的材料，一次性告知补正材料，依法受理或不予受理（不予受理应当告知理由）。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2.调解责任：依据事实和法律以及双方陈述的意见，对纠纷进行调解。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3.终结责任：按当事人达成的调解意愿结案，不能达成调解协议或一方明确表示不愿调解的依据相关规定处理。</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1.对符合法定受理条件的纠纷无正当理由不予受理、推诿的。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2.在纠纷调解过程中不依据相关规定进行调解或徇私舞弊、私自接受管理对象财物的。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3.调解不能达成一致时未按规定处理的。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行政复议调解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复议法实施条例》（国务院令第499号，2007.8.1施行）第五十条“有下列情形之一的，行政复议机关可以按照自愿、合法的原则进行调解：（一）公民、法人或者其他组织对行政机关行使法律、法规规定的自由裁量权作出的具体行政行为不服申请行政复议的；（二）当事人之间的行政赔偿或者行政补偿纠纷。当事人经调解达成协议的，行政复议机关应当制作行政复议调解书。调解书应当载明行政复议请求、事实、理由和调解结果，并加盖行政复议机关印章。行政复议调解书经双方当事人签字，即具有法律效力。调解未达成协议或者调解书生效前一方反悔的，行政复议机关应当及时作出行政复议决定。”</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 对符合条件的，行政复议机关可以按照自愿、合法的原则进行调解。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2.调解责任：行政复议机关按照自愿、合法的原则进行调解。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3.决定责任：调解未达成协议或者调解书生效前一方反悔的，行政复议机关应当及时作出行政复议决定。</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4.其他法律法规规章文件规定应履行的责任。</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在行政复议调解中有违法行为的，经有权监督的行政机关督促仍不改正的。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家用汽车产品三包责任争议调解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《家用汽车产品修理更换退货责任规定》（2021年7月22日国家市场监督管理总局令第43号公布，自2022年1月1日起施行）第三十四条“发生三包责任争议，可以通过下列途径解决：</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（一）协商和解；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（二）请求消费者协会或者依法成立的其他调解组织调解；</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（三）向市场监督管理部门等有关行政机关投诉；</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（四）根据当事人达成的仲裁协议提请仲裁机构仲裁；</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（五）向人民法院提起诉讼。”</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1.受理责任：对符合规定受理的投诉，依规受理。不予受理的告知投诉人。</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2.调解责任：根据双方陈述，开展争议处理工作。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3.结案责任：调解达成或未达成一致的，均结案并告知双方，并做好调解记录备查。</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在组织调解过程中有违法行为的，依法责令改正；有关工作人员应当承担责任的，依法给予处分或者由监察机关依法给予政务处分。</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计量纠纷调解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《仲裁检定和计量调解办法》（原国家计量局〔1987〕量局法字第373号，1987.10.12施行）第十五条“受理仲裁检定的政府计量行政部门，可根据纠纷双方或一方的口头或书面申请，对计量纠纷进行调解。 进行调解应根据仲裁检定结果，在分清责任的基础上，促使当事人互相谅解，自愿达成协议，对任何一方不得强迫。”</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十六条“调解达成协议后，应制作调解书。调解书应包括以下内容：（一）当事人双方的单位名称、地址及其法定代表人的姓名、职务；（二）纠纷的主要事实、责任；（三）协议内容和调解费用的承担。调解书由当事人双方法定代表人和调解人员共同签字，并加盖调解机关的印章后成立。”</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第十七条“调解成立后，当事人双方应自动履行调解达成的协议内容。”</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1.受理责任：对计量纠纷当事人提出的调解申请进行审查，符合受理条件的，依法受理。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2.调解责任：根据仲裁检定结果，在分清责任的基础上，促使当事人互相谅解，自愿达成协议，对任何一方不得强迫。</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3.结案责任：调解达成协议后，应制作调解书。调解书由当事人双方法定代表人和调解人员共同签字，并加盖调解机关的印章后成立。</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在组织调解过程中有违法行为的，依法责令改正；有关工作人员应当承担责任的，依法给予处分或者由监察机关依法给予政务处分。</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农业机械产品三包责任纠纷调解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农业机械产品修理、更换、退货责任规定》（原国家质检总局令第126号，2010.6.1施行）第三十九条“产品质量监督部门、工商行政管理部门、农业机械化主管部门应当认真履行三包有关质量问题监管职责。生产者未按照本规定第二十四条履行明示义务的，或通过明示内容有意规避责任的，由产品质量监督部门依法予以处理。销售者未按照本规定履行三包义务的，由工商行政管理部门依法予以处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6"/>
                <w:szCs w:val="16"/>
              </w:rPr>
              <w:t>第四十条“农机用户因三包责任问题与销售者、生产者、修理者发生纠纷的，可以按照公平、诚实、信用的原则进行协商解决。协商不能解决的，农机用户可以向当地工商行政管理部门、产品质量监督部门或者农业机械化主管部门设立的投诉机构进行投诉，或者依法向消费者权益保护组织等反映情况，当事人要求调解的，可以调解解决。”</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1.受理责任：对符合规定受理的投诉，依规受理。不予受理的告知投诉人。</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2.调解责任：根据双方陈述，开展争议处理工作。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3.结案责任：调解达成或未达成一致的，均结案并告知双方，并做好调解记录备查。</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在组织调解过程中有违法行为的，依法责令改正；有关工作人员应当承担责任的，依法给予处分或者由监察机关依法给予政务处分。</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其它类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农业机械维修质量争议调解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农业机械维修管理规定》（中华人民共和国农业部第57号，2006.7.1施行，农业部令2016年第3号修订）第十八条“农业机械维修当事人因维修质量发生争议，可以向农业机械化主管部门投诉，或者向工商行政管理部门投诉，农业机械化主管部门和工商行政管理部门应当受理，调解质量纠纷。调解不成的，应当告知当事人向人民法院提起诉讼或者向仲裁机构申请仲裁。”</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1.受理责任：对符合规定受理的投诉，依规受理。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2.调解责任：根据双方陈述，调解质量纠纷。</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只规定了农业机械化主管部门工作人员责任。</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消费者权益争议调解</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中华人民共和国消费者权益保护法》（中华人民共和国主席令第11号，1994.1.1施行，2013.10.25第二次修正）第三十九条“消费者和经营者发生消费者权益争议的，可以通过下列途径解决：(一)与经营者协商和解；(二)请求消费者协会或者依法成立的其他调解组织调解；(三)向有关行政部门投诉；(四)根据与经营者达成的仲裁协议提请仲裁机构仲裁；(五)向人民法院提起诉讼。”</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2.《市场监督管理投诉举报处理暂行办法》（国家市场监督管理总局令第20号，2020.1.1施行）第十六条“市场监督管理部门经投诉人和被投诉人同意，采用调解的方式处理投诉，但法律、法规另有规定的，依照其规定。鼓励投诉人和被投诉人平等协商，自行和解。”</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第十七条“市场监督管理部门可以委托消费者协会或者依法成立的其他调解组织等单位代为调解。受委托单位在委托范围内以委托的市场监督管理部门名义进行调解，不得再委托其他组织或者个人。”</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十八条“调解可以采取现场调解方式，也可以采取互联网、电话、音频、视频等非现场调解方式。采取现场调解方式的，市场监督管理部门或者其委托单位应当提前告知投诉人和被投诉人调解的时间、地点、调解人员等。”</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第二十一条“有下列情形之一的，终止调解：</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（一）投诉人撤回投诉或者双方自行和解的；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（二）投诉人与被投诉人对委托承担检定、检验、检测、鉴定工作的技术机构或者费用承担无法协商一致的；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（三）投诉人或者被投诉人无正当理由不参加调解，或者被投诉人明确拒绝调解的；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（四）经组织调解，投诉人或者被投诉人明确表示无法达成调解协议的；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（五）自投诉受理之日起四十五个工作日内投诉人和被投诉人未能达成调解协议的；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（六）市场监督管理部门受理投诉后，发现存在本办法第十五条规定情形的；</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（七）法律、法规、规章规定的应当终止调解的其他情形。</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终止调解的，市场监督管理部门应当自作出终止调解决定之日起七个工作日内告知投诉人和被投诉人。”</w:t>
            </w:r>
          </w:p>
          <w:p>
            <w:pPr>
              <w:keepNext w:val="0"/>
              <w:keepLines w:val="0"/>
              <w:pageBreakBefore w:val="0"/>
              <w:widowControl/>
              <w:kinsoku/>
              <w:wordWrap/>
              <w:overflowPunct/>
              <w:topLinePunct w:val="0"/>
              <w:autoSpaceDE/>
              <w:autoSpaceDN/>
              <w:bidi w:val="0"/>
              <w:adjustRightInd/>
              <w:snapToGrid/>
              <w:spacing w:beforeLines="0" w:afterLines="0" w:line="16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5"/>
                <w:szCs w:val="15"/>
              </w:rPr>
              <w:t>第二十二条“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未制作调解书的，市场监督管理部门应当做好调解记录备查。”</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1.受理责任：对符合规定受理的投诉，依规受理。不予受理的告知投诉人。</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2.调解责任：根据双方陈述，开展调解工作。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3.结案责任：调解达成或未达成一致的，结案并告知双方，并做好记录备查。</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国家机关工作人员玩忽职守或者包庇经营者侵害消费者合法权益的行为的。</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组织特种设备一般事故调查</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特种设备安全法》（中华人民共和国主席令第4号，2014.1.1施行）第七十二条第四款“发生一般事故，由设区的市级人民政府负责特种设备安全监督管理的部门会同有关部门组织事故调查组进行调查。”</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1.组织事故调查组：按照规定会同有关部门组成事故调查组。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2.开展事故调查：依法、独立、公正开展调查。提出事故调查报告。</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3.事故报告审批：将事故调查报告报本级人民政府，并报上一级人民政府负责特种设备安全监督管理的部门备案。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4.事故处理和移交：事故调查过程中发现涉嫌犯罪的线索，应当依照有关规定及时移送司法机关。</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接到特种设备事故报告未立即向本级人民政府报告，并按照规定上报；迟报、漏报、谎报或者瞒报事故；妨碍事故救援或者事故调查处理的；其他滥用职权、玩忽职守、徇私舞弊的行为。</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3</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组织食品安全事故调查</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食品安全法》（中华人民共和国主席令第9号，2009.6.1施行,2021.4.29第二次修正并实施）第一百零六条“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1.组织事故调查组：按照规定会同有关部门组成事故调查组。</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2.开展事故调查：依法、独立、公正开展调查。提出事故调查报告。</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3.事故报告审批：向本级人民政府和上一级人民政府食品药品监督管理部门提出事故责任调查处理报告。</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发生食品安全事故后隐瞒、谎报、缓报，隐匿、伪造、毁灭有关证据的行为。</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9" w:hRule="atLeast"/>
        </w:trPr>
        <w:tc>
          <w:tcPr>
            <w:tcW w:w="5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4</w:t>
            </w:r>
          </w:p>
        </w:tc>
        <w:tc>
          <w:tcPr>
            <w:tcW w:w="8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其他类</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企业经营异常的监管</w:t>
            </w:r>
          </w:p>
        </w:tc>
        <w:tc>
          <w:tcPr>
            <w:tcW w:w="29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1.</w:t>
            </w:r>
            <w:r>
              <w:rPr>
                <w:rFonts w:hint="eastAsia" w:ascii="仿宋_GB2312" w:hAnsi="仿宋_GB2312" w:eastAsia="仿宋_GB2312" w:cs="仿宋_GB2312"/>
                <w:color w:val="000000"/>
                <w:sz w:val="13"/>
                <w:szCs w:val="13"/>
              </w:rPr>
              <w:tab/>
            </w:r>
            <w:r>
              <w:rPr>
                <w:rFonts w:hint="eastAsia" w:ascii="仿宋_GB2312" w:hAnsi="仿宋_GB2312" w:eastAsia="仿宋_GB2312" w:cs="仿宋_GB2312"/>
                <w:color w:val="000000"/>
                <w:sz w:val="13"/>
                <w:szCs w:val="13"/>
              </w:rPr>
              <w:t>《企业信息公示暂行条例》第十七条“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(一)企业未按照本条例规定的期限公示年度报告或者未按照工商行政管理部门责令的期限公示有关企业信息的；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(二)企业公示信息隐瞒真实情况、弄虚作假的。”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w:t>
            </w:r>
            <w:r>
              <w:rPr>
                <w:rFonts w:hint="eastAsia" w:ascii="仿宋_GB2312" w:hAnsi="仿宋_GB2312" w:eastAsia="仿宋_GB2312" w:cs="仿宋_GB2312"/>
                <w:color w:val="000000"/>
                <w:sz w:val="13"/>
                <w:szCs w:val="13"/>
              </w:rPr>
              <w:tab/>
            </w:r>
            <w:r>
              <w:rPr>
                <w:rFonts w:hint="eastAsia" w:ascii="仿宋_GB2312" w:hAnsi="仿宋_GB2312" w:eastAsia="仿宋_GB2312" w:cs="仿宋_GB2312"/>
                <w:color w:val="000000"/>
                <w:sz w:val="13"/>
                <w:szCs w:val="13"/>
              </w:rPr>
              <w:t>《企业经营异常名录管理暂行办法》第四条“县级以上工商行政管理部门应当将有下列情形之一的企业列入经营异常名录：</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(一)未按照《企业信息公示暂行条例》第八条规定的期限公示年度报告的；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(二)未在工商行政管理部门依照《企业信息公示暂行条例》第十条规定责令的期限内公示有关企业信息的； (三)公示企业信息隐瞒真实情况、弄虚作假的；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(四)通过登记的住所或者经营场所无法联系的。”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3.</w:t>
            </w:r>
            <w:r>
              <w:rPr>
                <w:rFonts w:hint="eastAsia" w:ascii="仿宋_GB2312" w:hAnsi="仿宋_GB2312" w:eastAsia="仿宋_GB2312" w:cs="仿宋_GB2312"/>
                <w:color w:val="000000"/>
                <w:sz w:val="13"/>
                <w:szCs w:val="13"/>
              </w:rPr>
              <w:tab/>
            </w:r>
            <w:r>
              <w:rPr>
                <w:rFonts w:hint="eastAsia" w:ascii="仿宋_GB2312" w:hAnsi="仿宋_GB2312" w:eastAsia="仿宋_GB2312" w:cs="仿宋_GB2312"/>
                <w:color w:val="000000"/>
                <w:sz w:val="13"/>
                <w:szCs w:val="13"/>
              </w:rPr>
              <w:t>《严重违法失信企业名单管理暂行办法》第五条“企业有下列情形之一的，由县级以上工商行政管理部门列入严重违法失信企业名单管理：</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（一）被列入经营异常名录届满3年仍未履行相关义务的；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（二）提交虚假材料或者采取其他欺诈手段隐瞒重要事实，取得公司变更或者注销登记，被撤销登记的；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（三）组织策划传销的，或者因为传销行为提供便利条件两年内受到3次以上行政处罚的；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（四）因直销违法行为两年内受到3次以上行政处罚的；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（五）因不正当竞争行为两年内受到3次以上行政处罚的；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（六）因提供的商品或者服务不符合保障人身、财产安全要求，造成人身伤害等严重侵害消费者权益的违法行为，两年内受到3次以上行政处罚的；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（七）因发布虚假广告两年内受到3次以上行政处罚的，或者发布关系消费者生命健康的商品或者服务的虚假广告，造成人身伤害的或者其他严重社会不良影响的；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（八）因商标侵权行为5年内受到两次以上行政处罚的；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（九）被决定停止受理商标代理业务的；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（十）国家工商行政管理总局规定的其他违反工商行政管理法律、行政法规且情节严重的。</w:t>
            </w:r>
          </w:p>
          <w:p>
            <w:pPr>
              <w:keepNext w:val="0"/>
              <w:keepLines w:val="0"/>
              <w:pageBreakBefore w:val="0"/>
              <w:widowControl/>
              <w:kinsoku/>
              <w:wordWrap/>
              <w:overflowPunct/>
              <w:topLinePunct w:val="0"/>
              <w:autoSpaceDE/>
              <w:autoSpaceDN/>
              <w:bidi w:val="0"/>
              <w:adjustRightInd/>
              <w:snapToGrid/>
              <w:spacing w:beforeLines="0" w:afterLines="0" w:line="18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3"/>
                <w:szCs w:val="13"/>
              </w:rPr>
              <w:t>企业违反工商行政管理法律、行政法规，有前款第（三）项至第（八）项规定行为之一，两年内累计受到3次以上行政处罚的，列入严重违法失信企业名单管理。”</w:t>
            </w:r>
          </w:p>
        </w:tc>
        <w:tc>
          <w:tcPr>
            <w:tcW w:w="1045" w:type="dxa"/>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市级</w:t>
            </w:r>
          </w:p>
        </w:tc>
        <w:tc>
          <w:tcPr>
            <w:tcW w:w="35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列入异常名录责任：企业未在规定的期限公示年度报告或者未按照工商行政管理部门责令的期限公示有关企业信息的、企业公示信息隐瞒真实情况、弄虚作假的、通过登记的住所或者经营场所无法联系，列入经营异常名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2.移除异常经营名录责任：被列入经营异常名录的企业依照规定履行公示义务的，由县级以上工商行政管理部门移出经营异常名录。</w:t>
            </w:r>
          </w:p>
        </w:tc>
        <w:tc>
          <w:tcPr>
            <w:tcW w:w="30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1.《企业信息公示暂行条例》第十九条 政府部门未依照本条例规定履行职责的，由监察机关、上一级政府部门责令改正；情节严重的，对负有责任的主管人员和其他直接责任人员依法给予处分；构成犯罪的，依法追究刑事责任。第二十条 非法修改公示的企业信息，或者非法获取企业信息的，依照有关法律、行政法规规定追究法律责任。</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2.《企业经营异常名录管理暂行办法》第十八条 工商行政管理部门未依照本办法的有关规定履行职责的，由上一级工商行政管理部门责令改正；情节严重的，对负有责任的主管人员和其他直接责任人员依照有关规定予以处理。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严重违法失信企业名单管理暂行办法》第十七条工商行政管理部门未依照本办法的有关规定履行职责的，由上一级工商行政管理部门责令改正；情节严重的，对负有责任的主管人员和其他直接责任人员依照有关规定予以处理。</w:t>
            </w:r>
          </w:p>
        </w:tc>
        <w:tc>
          <w:tcPr>
            <w:tcW w:w="5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bl>
    <w:p/>
    <w:sectPr>
      <w:pgSz w:w="15840" w:h="12240" w:orient="landscape"/>
      <w:pgMar w:top="720" w:right="720" w:bottom="720" w:left="72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3916F4"/>
    <w:rsid w:val="17490DE4"/>
    <w:rsid w:val="2AB1156F"/>
    <w:rsid w:val="6AD0438E"/>
    <w:rsid w:val="77EFF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qFormat/>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2022-07-28T16:16:00Z</dcterms:created>
  <dc:creator>user</dc:creator>
  <cp:lastModifiedBy>李欣阳</cp:lastModifiedBy>
  <dcterms:modified xsi:type="dcterms:W3CDTF">2022-12-06T02:25:10Z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