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850"/>
        <w:gridCol w:w="1133"/>
        <w:gridCol w:w="3111"/>
        <w:gridCol w:w="1133"/>
        <w:gridCol w:w="973"/>
        <w:gridCol w:w="3949"/>
        <w:gridCol w:w="3384"/>
        <w:gridCol w:w="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54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3"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73"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4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38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83"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7" w:hRule="atLeast"/>
        </w:trPr>
        <w:tc>
          <w:tcPr>
            <w:tcW w:w="5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18"/>
                <w:szCs w:val="18"/>
                <w:u w:val="none"/>
              </w:rPr>
            </w:pPr>
            <w:r>
              <w:rPr>
                <w:rFonts w:hint="default" w:ascii="仿宋_GB2312" w:hAnsi="仿宋_GB2312" w:eastAsia="仿宋_GB2312" w:cs="仿宋_GB2312"/>
                <w:i w:val="0"/>
                <w:color w:val="000000"/>
                <w:sz w:val="18"/>
                <w:szCs w:val="18"/>
                <w:u w:val="none"/>
              </w:rPr>
              <w:t>1</w:t>
            </w:r>
          </w:p>
        </w:tc>
        <w:tc>
          <w:tcPr>
            <w:tcW w:w="85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企业股权出质登记</w:t>
            </w:r>
          </w:p>
        </w:tc>
        <w:tc>
          <w:tcPr>
            <w:tcW w:w="31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工商行政管理机关股权出质登记办法》（原国家工商总局令第32号，2008.10.1施行，2016.4.29第一次修订）第二条“以持有的有限责任公司和股份有限公司股权出质，办理出质登记的，适用本办法。已在证券登记结算机构登记的股份有限公司的股权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第三条“负责出质股权所在公司登记的工商行政管理机关是股权出质登记机关(以下简称登记机关)。各级工商行政管理机关的企业登记机构是股权出质登记机构。”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第四条“股权出质登记事项包括：(一)出质人和质权人的姓名或名称；(二)出质股权所在公司的名称；(三)出质股权的数额。”</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第五条“申请出质登记的股权应当是依法可以转让和出质的股权。对于已经被人民法院冻结的股权，在解除冻结之前，不得申请办理股权出质登记。”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六条“申请股权出质设立登记、变更登记和注销登记，应当由出质人和质权人共同提出。申请股权出质撤销登记，可以由出质人或者质权人单方提出。申请人应当对申请材料的真实性、质权合同的合法性有效性、出质股权权能的完整性承担法律责任。”</w:t>
            </w:r>
          </w:p>
        </w:tc>
        <w:tc>
          <w:tcPr>
            <w:tcW w:w="11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7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1.受理责任：登记机关对登记申请应当当场办理登记手续并发给登记通</w:t>
            </w:r>
            <w:bookmarkStart w:id="0" w:name="_GoBack"/>
            <w:bookmarkEnd w:id="0"/>
            <w:r>
              <w:rPr>
                <w:rFonts w:hint="eastAsia" w:ascii="仿宋_GB2312" w:hAnsi="仿宋_GB2312" w:eastAsia="仿宋_GB2312" w:cs="仿宋_GB2312"/>
                <w:i w:val="0"/>
                <w:color w:val="000000"/>
                <w:kern w:val="0"/>
                <w:sz w:val="18"/>
                <w:szCs w:val="18"/>
                <w:u w:val="none"/>
                <w:lang w:val="en-US" w:eastAsia="zh-CN" w:bidi="ar"/>
              </w:rPr>
              <w:t>知书。对于不属于股权出质登记范围或者不属于本机关登记管辖范围以及不符合本办法规定的，登记机关应当当场告知申请人，并退回申请材料。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2.公示责任：登记机关应当将股权出质登记事项在企业信用信息公示系统公示，供社会公众查询。</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3.其他法律法规规章文件规定应履行的责任。</w:t>
            </w:r>
          </w:p>
        </w:tc>
        <w:tc>
          <w:tcPr>
            <w:tcW w:w="33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在外资企业股权出质登记过程中有违法行为的，依法责令改正；有关工作人员应当承担责任的，依法给予行政处分。</w:t>
            </w:r>
          </w:p>
        </w:tc>
        <w:tc>
          <w:tcPr>
            <w:tcW w:w="5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注：依职权选择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7" w:hRule="atLeast"/>
        </w:trPr>
        <w:tc>
          <w:tcPr>
            <w:tcW w:w="5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免予办理强制性产品认证证明</w:t>
            </w:r>
          </w:p>
        </w:tc>
        <w:tc>
          <w:tcPr>
            <w:tcW w:w="31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强制性产品认证管理规定》（原质检总局令第117号，2009.9.1施行）第四十二条“有下列情形之一的，列入目录产品的生产者、进口商、销售商或者其代理人可以向所在地出入境检验检疫机构提出免予办理强制性产品认证申请，提交相关证明材料、责任担保书、产品符合性声明（包括型式试验报告）等资料，并根据需要进行产品检测，经批准取得《免予办理强制性产品认证证明》后，方可进口，并按照申报用途使用：</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（一）为科研、测试所需的产品；</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（二）为考核技术引进生产线所需的零部件；</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（三）直接为最终用户维修目的所需的产品；</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（四）工厂生产线/成套生产线配套所需的设备/部件（不包含办公用品）；</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（五）仅用于商业展示，但不销售的产品；</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（六）暂时进口后需退运出关的产品（含展览品）；</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（七）以整机全数出口为目的而用一般贸易方式进口的零部件；</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（八）以整机全数出口为目的而用进料或者来料加工方式进口的零部件；</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（九）其他因特殊用途免予办理强制性产品认证的情形。”</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关于明确免予办理强制性产品认证工作要求的通知》（国市监认证函【2019】153号）“一、符合CCC免办的条件（一）为科研、测试和认证检测所需的产品和样品。本款所称科研，是指对该产品进行科学研究，以开发、生产出相关产品所需的产品，并不是指进行研究工作所需的科研器材；本款所称测试，是指对该产品进行测试以获得测试数据，或测试某一产品的部分性能所必须用到的该产品（如开发测试某一型号的打印机软件，需进口少量该型号打印机）；本款所称认证检测，是指CCC认证所进行型式试验的样品。（二）直接为最终用户维修目的所需的零部件/产品。（三）工厂生产线/成套生产线配套所需的设备/零部件（不含办公用品）。（四）仅用于商业展示但不销售的产品。（五）以整机全数出口为目的进口的零部件。（六）其他因特殊用途免予办理强制性产品认证的情形。”</w:t>
            </w:r>
          </w:p>
        </w:tc>
        <w:tc>
          <w:tcPr>
            <w:tcW w:w="11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7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1.受理责任：接收申请人在“CCC免办及特殊用途进口产品检测处理管理系统”上提交的申请材料（全程电子无纸化）。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2.审查责任：审核有关材料，符合要求的，予以登记或作出确认。</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3.决定责任：作出申请人是否通过确认的决定，不符合要求的，应当通知申请人。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4、事后监管责任：对签发的《免予办理强制性产品认证证明》实施后续监管。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市场监管局承办人员在核发《免予办理强制性产品认证证明》过程中有违法行为的，依法给予行政处分；构成犯罪的，依法追究刑事责任。</w:t>
            </w:r>
          </w:p>
        </w:tc>
        <w:tc>
          <w:tcPr>
            <w:tcW w:w="5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B9848"/>
    <w:rsid w:val="28D15629"/>
    <w:rsid w:val="577B0C82"/>
    <w:rsid w:val="78AC4D70"/>
    <w:rsid w:val="FBDB9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2022-07-28T15:59:00Z</dcterms:created>
  <dc:creator>user</dc:creator>
  <cp:lastModifiedBy>李欣阳</cp:lastModifiedBy>
  <dcterms:modified xsi:type="dcterms:W3CDTF">2022-12-06T02:24:43Z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