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6310" w14:textId="77777777" w:rsidR="00790651" w:rsidRDefault="00790651" w:rsidP="00A55159">
      <w:pPr>
        <w:spacing w:before="240" w:line="640" w:lineRule="exact"/>
        <w:jc w:val="center"/>
        <w:rPr>
          <w:rFonts w:ascii="方正小标宋简体" w:eastAsia="方正小标宋简体"/>
          <w:b/>
          <w:kern w:val="0"/>
          <w:sz w:val="44"/>
          <w:szCs w:val="44"/>
        </w:rPr>
      </w:pPr>
      <w:r>
        <w:rPr>
          <w:rFonts w:ascii="方正小标宋简体" w:eastAsia="方正小标宋简体" w:hint="eastAsia"/>
          <w:b/>
          <w:kern w:val="0"/>
          <w:sz w:val="44"/>
          <w:szCs w:val="44"/>
        </w:rPr>
        <w:t>秦皇岛市国资委</w:t>
      </w:r>
    </w:p>
    <w:p w14:paraId="16D40B32" w14:textId="77777777" w:rsidR="00790651" w:rsidRDefault="00790651" w:rsidP="00A55159">
      <w:pPr>
        <w:spacing w:line="640" w:lineRule="exact"/>
        <w:jc w:val="center"/>
        <w:rPr>
          <w:rFonts w:ascii="方正小标宋简体" w:eastAsia="方正小标宋简体" w:cs="宋体"/>
          <w:b/>
          <w:kern w:val="0"/>
          <w:sz w:val="44"/>
          <w:szCs w:val="44"/>
        </w:rPr>
      </w:pPr>
      <w:r>
        <w:rPr>
          <w:rFonts w:ascii="方正小标宋简体" w:eastAsia="方正小标宋简体" w:hint="eastAsia"/>
          <w:b/>
          <w:kern w:val="0"/>
          <w:sz w:val="44"/>
          <w:szCs w:val="44"/>
        </w:rPr>
        <w:t>2022年度部门整体支出</w:t>
      </w:r>
      <w:r>
        <w:rPr>
          <w:rFonts w:ascii="方正小标宋简体" w:eastAsia="方正小标宋简体" w:cs="宋体" w:hint="eastAsia"/>
          <w:b/>
          <w:kern w:val="0"/>
          <w:sz w:val="44"/>
          <w:szCs w:val="44"/>
        </w:rPr>
        <w:t>绩效评价报告</w:t>
      </w:r>
    </w:p>
    <w:p w14:paraId="5FBE4159" w14:textId="77777777" w:rsidR="00790651" w:rsidRPr="00790651" w:rsidRDefault="00790651" w:rsidP="00A55159">
      <w:pPr>
        <w:spacing w:line="640" w:lineRule="exact"/>
        <w:ind w:firstLineChars="200" w:firstLine="560"/>
        <w:rPr>
          <w:rFonts w:ascii="仿宋_GB2312" w:eastAsia="仿宋_GB2312"/>
          <w:sz w:val="28"/>
          <w:szCs w:val="28"/>
        </w:rPr>
      </w:pPr>
    </w:p>
    <w:p w14:paraId="20DDD86A" w14:textId="77777777" w:rsidR="00790651" w:rsidRPr="00790651" w:rsidRDefault="00790651" w:rsidP="00A55159">
      <w:pPr>
        <w:spacing w:line="500" w:lineRule="exact"/>
        <w:ind w:firstLineChars="200" w:firstLine="640"/>
        <w:rPr>
          <w:rFonts w:ascii="仿宋_GB2312" w:eastAsia="仿宋_GB2312"/>
          <w:sz w:val="32"/>
          <w:szCs w:val="32"/>
        </w:rPr>
      </w:pPr>
      <w:r w:rsidRPr="00790651">
        <w:rPr>
          <w:rFonts w:ascii="仿宋_GB2312" w:eastAsia="仿宋_GB2312" w:hint="eastAsia"/>
          <w:sz w:val="32"/>
          <w:szCs w:val="32"/>
        </w:rPr>
        <w:t>为贯彻落实全面实施预算绩效管理工作要求，进一步加强财政支出项目绩效管理和追踪问效，提升财政资金配置效率、使用效益和政府公共服务管理水平，根据《关于全面实施预算绩效管理的实施意见》（</w:t>
      </w:r>
      <w:proofErr w:type="gramStart"/>
      <w:r w:rsidRPr="00790651">
        <w:rPr>
          <w:rFonts w:ascii="仿宋_GB2312" w:eastAsia="仿宋_GB2312" w:hint="eastAsia"/>
          <w:sz w:val="32"/>
          <w:szCs w:val="32"/>
        </w:rPr>
        <w:t>冀发〔2018〕</w:t>
      </w:r>
      <w:proofErr w:type="gramEnd"/>
      <w:r w:rsidRPr="00790651">
        <w:rPr>
          <w:rFonts w:ascii="仿宋_GB2312" w:eastAsia="仿宋_GB2312" w:hint="eastAsia"/>
          <w:sz w:val="32"/>
          <w:szCs w:val="32"/>
        </w:rPr>
        <w:t>54号）、《秦皇岛市市级预算绩效重点评价管理办法》（</w:t>
      </w:r>
      <w:proofErr w:type="gramStart"/>
      <w:r w:rsidRPr="00790651">
        <w:rPr>
          <w:rFonts w:ascii="仿宋_GB2312" w:eastAsia="仿宋_GB2312" w:hint="eastAsia"/>
          <w:sz w:val="32"/>
          <w:szCs w:val="32"/>
        </w:rPr>
        <w:t>秦财监</w:t>
      </w:r>
      <w:proofErr w:type="gramEnd"/>
      <w:r w:rsidRPr="00790651">
        <w:rPr>
          <w:rFonts w:ascii="仿宋_GB2312" w:eastAsia="仿宋_GB2312" w:hint="eastAsia"/>
          <w:sz w:val="32"/>
          <w:szCs w:val="32"/>
        </w:rPr>
        <w:t>〔2020〕138号）、《秦皇岛市市级部门整体绩效评价管理办法》（</w:t>
      </w:r>
      <w:proofErr w:type="gramStart"/>
      <w:r w:rsidRPr="00790651">
        <w:rPr>
          <w:rFonts w:ascii="仿宋_GB2312" w:eastAsia="仿宋_GB2312" w:hint="eastAsia"/>
          <w:sz w:val="32"/>
          <w:szCs w:val="32"/>
        </w:rPr>
        <w:t>秦财监</w:t>
      </w:r>
      <w:proofErr w:type="gramEnd"/>
      <w:r w:rsidRPr="00790651">
        <w:rPr>
          <w:rFonts w:ascii="仿宋_GB2312" w:eastAsia="仿宋_GB2312" w:hint="eastAsia"/>
          <w:sz w:val="32"/>
          <w:szCs w:val="32"/>
        </w:rPr>
        <w:t>〔2023〕234号）相关规定，受秦皇岛市财政局委托，秦皇岛市含章会计师事务所（普通合伙）承担秦皇岛市人民政府国有资产监督管理委员会部门整体支出绩效评价工作。评价小组根据</w:t>
      </w:r>
      <w:r w:rsidRPr="00790651">
        <w:rPr>
          <w:rFonts w:ascii="仿宋_GB2312" w:eastAsia="仿宋_GB2312"/>
          <w:sz w:val="32"/>
          <w:szCs w:val="32"/>
        </w:rPr>
        <w:t>绩效评价</w:t>
      </w:r>
      <w:r w:rsidRPr="00790651">
        <w:rPr>
          <w:rFonts w:ascii="仿宋_GB2312" w:eastAsia="仿宋_GB2312" w:hint="eastAsia"/>
          <w:sz w:val="32"/>
          <w:szCs w:val="32"/>
        </w:rPr>
        <w:t>工作方案开展本次评价工作，经过项目数据采集、访谈、社会调查等必要评价程序，运用绩效原理和统计方法，在梳理、分析评价数据资料基础上，形成本评价报告。</w:t>
      </w:r>
    </w:p>
    <w:p w14:paraId="79C40F41" w14:textId="77777777" w:rsidR="00790651" w:rsidRPr="00790651" w:rsidRDefault="00790651" w:rsidP="00A55159">
      <w:pPr>
        <w:adjustRightInd w:val="0"/>
        <w:snapToGrid w:val="0"/>
        <w:spacing w:line="500" w:lineRule="exact"/>
        <w:ind w:firstLineChars="200" w:firstLine="643"/>
        <w:jc w:val="left"/>
        <w:rPr>
          <w:rFonts w:ascii="仿宋_GB2312" w:eastAsia="仿宋_GB2312" w:cs="仿宋"/>
          <w:b/>
          <w:kern w:val="0"/>
          <w:sz w:val="32"/>
          <w:szCs w:val="32"/>
        </w:rPr>
      </w:pPr>
      <w:r w:rsidRPr="00790651">
        <w:rPr>
          <w:rFonts w:ascii="仿宋_GB2312" w:eastAsia="仿宋_GB2312" w:cs="仿宋" w:hint="eastAsia"/>
          <w:b/>
          <w:kern w:val="0"/>
          <w:sz w:val="32"/>
          <w:szCs w:val="32"/>
        </w:rPr>
        <w:t>一、部门概况</w:t>
      </w:r>
    </w:p>
    <w:p w14:paraId="718A2C04" w14:textId="77777777" w:rsidR="00790651" w:rsidRPr="00790651" w:rsidRDefault="00790651" w:rsidP="00A55159">
      <w:pPr>
        <w:adjustRightInd w:val="0"/>
        <w:snapToGrid w:val="0"/>
        <w:spacing w:line="500" w:lineRule="exact"/>
        <w:ind w:firstLineChars="200" w:firstLine="643"/>
        <w:jc w:val="left"/>
        <w:rPr>
          <w:rFonts w:ascii="仿宋_GB2312" w:eastAsia="仿宋_GB2312" w:cs="仿宋"/>
          <w:b/>
          <w:kern w:val="0"/>
          <w:sz w:val="32"/>
          <w:szCs w:val="32"/>
        </w:rPr>
      </w:pPr>
      <w:r w:rsidRPr="00790651">
        <w:rPr>
          <w:rFonts w:ascii="仿宋_GB2312" w:eastAsia="仿宋_GB2312" w:cs="仿宋" w:hint="eastAsia"/>
          <w:b/>
          <w:kern w:val="0"/>
          <w:sz w:val="32"/>
          <w:szCs w:val="32"/>
        </w:rPr>
        <w:t>（一）部门基本情况</w:t>
      </w:r>
    </w:p>
    <w:p w14:paraId="5CC79BF3"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kern w:val="0"/>
          <w:sz w:val="32"/>
          <w:szCs w:val="32"/>
        </w:rPr>
      </w:pPr>
      <w:r w:rsidRPr="00790651">
        <w:rPr>
          <w:rFonts w:ascii="仿宋_GB2312" w:eastAsia="仿宋_GB2312" w:cs="仿宋" w:hint="eastAsia"/>
          <w:kern w:val="0"/>
          <w:sz w:val="32"/>
          <w:szCs w:val="32"/>
        </w:rPr>
        <w:t>秦皇岛市人民政府国有资产监督管理委员会（简称市国资委）为市政府工作部门，机构规格正处级。其所属的预算单位个数为1个，为秦皇岛市人民政府国有资产监督管理委员会（本级）。</w:t>
      </w:r>
    </w:p>
    <w:p w14:paraId="70B694E9"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kern w:val="0"/>
          <w:sz w:val="32"/>
          <w:szCs w:val="32"/>
        </w:rPr>
      </w:pPr>
      <w:r w:rsidRPr="00790651">
        <w:rPr>
          <w:rFonts w:ascii="仿宋_GB2312" w:eastAsia="仿宋_GB2312" w:cs="仿宋" w:hint="eastAsia"/>
          <w:kern w:val="0"/>
          <w:sz w:val="32"/>
          <w:szCs w:val="32"/>
        </w:rPr>
        <w:t>秦皇岛市人民政府国有资产监督管理委员会下属9个内设机构，主要为办公室（党委办公室）、党建和人事工作科、企业改革改组科、资本运营与收益管理科、产权管理科、财务监督科（内部审计科）、安全生产与环境保护监督科、</w:t>
      </w:r>
      <w:proofErr w:type="gramStart"/>
      <w:r w:rsidRPr="00790651">
        <w:rPr>
          <w:rFonts w:ascii="仿宋_GB2312" w:eastAsia="仿宋_GB2312" w:cs="仿宋" w:hint="eastAsia"/>
          <w:kern w:val="0"/>
          <w:sz w:val="32"/>
          <w:szCs w:val="32"/>
        </w:rPr>
        <w:t>央</w:t>
      </w:r>
      <w:r w:rsidRPr="00790651">
        <w:rPr>
          <w:rFonts w:ascii="仿宋_GB2312" w:eastAsia="仿宋_GB2312" w:cs="仿宋" w:hint="eastAsia"/>
          <w:kern w:val="0"/>
          <w:sz w:val="32"/>
          <w:szCs w:val="32"/>
        </w:rPr>
        <w:lastRenderedPageBreak/>
        <w:t>企对接</w:t>
      </w:r>
      <w:proofErr w:type="gramEnd"/>
      <w:r w:rsidRPr="00790651">
        <w:rPr>
          <w:rFonts w:ascii="仿宋_GB2312" w:eastAsia="仿宋_GB2312" w:cs="仿宋" w:hint="eastAsia"/>
          <w:kern w:val="0"/>
          <w:sz w:val="32"/>
          <w:szCs w:val="32"/>
        </w:rPr>
        <w:t>服务科、机关党委(机关纪委、离退休干部科 )。</w:t>
      </w:r>
    </w:p>
    <w:p w14:paraId="277BB478"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kern w:val="0"/>
          <w:sz w:val="32"/>
          <w:szCs w:val="32"/>
        </w:rPr>
      </w:pPr>
      <w:r w:rsidRPr="00790651">
        <w:rPr>
          <w:rFonts w:ascii="仿宋_GB2312" w:eastAsia="仿宋_GB2312" w:cs="仿宋" w:hint="eastAsia"/>
          <w:kern w:val="0"/>
          <w:sz w:val="32"/>
          <w:szCs w:val="32"/>
        </w:rPr>
        <w:t>截至2022年底，市国资委人员编制数31人，其中行政编31人。年末实有在职人员38人（行政人员34人，工勤人员4人），离休人员15人，财政拨款退休人员248人。</w:t>
      </w:r>
    </w:p>
    <w:p w14:paraId="4FC722F4"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kern w:val="0"/>
          <w:sz w:val="32"/>
          <w:szCs w:val="32"/>
        </w:rPr>
      </w:pPr>
      <w:r w:rsidRPr="00790651">
        <w:rPr>
          <w:rFonts w:ascii="仿宋_GB2312" w:eastAsia="仿宋_GB2312" w:cs="仿宋" w:hint="eastAsia"/>
          <w:kern w:val="0"/>
          <w:sz w:val="32"/>
          <w:szCs w:val="32"/>
        </w:rPr>
        <w:t>截至2022年12月31日，市国资委的资产总额为26260.44万元，负责总额为17203.82万元，净资产总额为9056.62万元。资产负债率为65.51%。</w:t>
      </w:r>
    </w:p>
    <w:p w14:paraId="2594CFCC"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kern w:val="0"/>
          <w:sz w:val="32"/>
          <w:szCs w:val="32"/>
        </w:rPr>
      </w:pPr>
      <w:r w:rsidRPr="00790651">
        <w:rPr>
          <w:rFonts w:ascii="仿宋_GB2312" w:eastAsia="仿宋_GB2312" w:hint="eastAsia"/>
          <w:sz w:val="32"/>
          <w:szCs w:val="32"/>
        </w:rPr>
        <w:t>2022年市国资委监管企业完成营业收入15.84亿元，上缴税费9936万元，期末资产总额247.6亿元，资产负债率54.01%。</w:t>
      </w:r>
    </w:p>
    <w:p w14:paraId="58F480D3" w14:textId="77777777" w:rsidR="00790651" w:rsidRPr="00790651" w:rsidRDefault="00790651" w:rsidP="00A55159">
      <w:pPr>
        <w:adjustRightInd w:val="0"/>
        <w:snapToGrid w:val="0"/>
        <w:spacing w:line="500" w:lineRule="exact"/>
        <w:ind w:firstLineChars="200" w:firstLine="640"/>
        <w:jc w:val="left"/>
        <w:rPr>
          <w:rFonts w:ascii="仿宋_GB2312" w:eastAsia="仿宋_GB2312" w:cs="仿宋"/>
          <w:color w:val="000000"/>
          <w:kern w:val="0"/>
          <w:sz w:val="32"/>
          <w:szCs w:val="32"/>
        </w:rPr>
      </w:pPr>
      <w:r w:rsidRPr="00790651">
        <w:rPr>
          <w:rFonts w:ascii="仿宋_GB2312" w:eastAsia="仿宋_GB2312" w:cs="仿宋" w:hint="eastAsia"/>
          <w:color w:val="000000"/>
          <w:kern w:val="0"/>
          <w:sz w:val="32"/>
          <w:szCs w:val="32"/>
        </w:rPr>
        <w:t>截至</w:t>
      </w:r>
      <w:r w:rsidRPr="00790651">
        <w:rPr>
          <w:rFonts w:ascii="仿宋_GB2312" w:eastAsia="仿宋_GB2312" w:hint="eastAsia"/>
          <w:color w:val="000000"/>
          <w:sz w:val="32"/>
          <w:szCs w:val="32"/>
        </w:rPr>
        <w:t>2022年底，市国资委直接监管的企业19户。对19户国有企业进行经营目标、工作目标和附加目标的考核，考核等级80%以上为B（良）。</w:t>
      </w:r>
    </w:p>
    <w:p w14:paraId="36FF15F0" w14:textId="6D812F72" w:rsidR="00790651" w:rsidRPr="00790651" w:rsidRDefault="00790651" w:rsidP="00A55159">
      <w:pPr>
        <w:pStyle w:val="2"/>
        <w:spacing w:line="500" w:lineRule="exact"/>
        <w:ind w:leftChars="0" w:left="0" w:firstLine="640"/>
        <w:rPr>
          <w:rFonts w:ascii="仿宋_GB2312" w:eastAsia="仿宋_GB2312"/>
          <w:sz w:val="32"/>
          <w:szCs w:val="32"/>
        </w:rPr>
      </w:pPr>
      <w:r w:rsidRPr="00790651">
        <w:rPr>
          <w:rFonts w:ascii="仿宋_GB2312" w:eastAsia="仿宋_GB2312" w:hint="eastAsia"/>
          <w:sz w:val="32"/>
          <w:szCs w:val="32"/>
        </w:rPr>
        <w:t>2022年上缴的国有资本收益共43861.51万元</w:t>
      </w:r>
      <w:r w:rsidR="00B66591">
        <w:rPr>
          <w:rFonts w:ascii="仿宋_GB2312" w:eastAsia="仿宋_GB2312" w:hint="eastAsia"/>
          <w:sz w:val="32"/>
          <w:szCs w:val="32"/>
        </w:rPr>
        <w:t>。</w:t>
      </w:r>
    </w:p>
    <w:p w14:paraId="72F9789E" w14:textId="77777777" w:rsidR="00790651" w:rsidRPr="00790651" w:rsidRDefault="00790651" w:rsidP="00A55159">
      <w:pPr>
        <w:adjustRightInd w:val="0"/>
        <w:snapToGrid w:val="0"/>
        <w:spacing w:line="500" w:lineRule="exact"/>
        <w:ind w:firstLineChars="200" w:firstLine="643"/>
        <w:jc w:val="left"/>
        <w:rPr>
          <w:rFonts w:ascii="仿宋_GB2312" w:eastAsia="仿宋_GB2312" w:cs="仿宋"/>
          <w:b/>
          <w:kern w:val="0"/>
          <w:sz w:val="32"/>
          <w:szCs w:val="32"/>
        </w:rPr>
      </w:pPr>
      <w:r w:rsidRPr="00790651">
        <w:rPr>
          <w:rFonts w:ascii="仿宋_GB2312" w:eastAsia="仿宋_GB2312" w:cs="仿宋" w:hint="eastAsia"/>
          <w:b/>
          <w:kern w:val="0"/>
          <w:sz w:val="32"/>
          <w:szCs w:val="32"/>
        </w:rPr>
        <w:t>（二）部门预算执行情况</w:t>
      </w:r>
    </w:p>
    <w:p w14:paraId="67953CD5" w14:textId="77777777" w:rsidR="00790651" w:rsidRPr="00790651" w:rsidRDefault="00790651" w:rsidP="00A55159">
      <w:pPr>
        <w:spacing w:line="500" w:lineRule="exact"/>
        <w:ind w:firstLineChars="200" w:firstLine="640"/>
        <w:rPr>
          <w:rFonts w:ascii="仿宋_GB2312" w:eastAsia="仿宋_GB2312" w:cs="仿宋"/>
          <w:kern w:val="0"/>
          <w:sz w:val="32"/>
          <w:szCs w:val="32"/>
        </w:rPr>
      </w:pPr>
      <w:r w:rsidRPr="00790651">
        <w:rPr>
          <w:rFonts w:ascii="仿宋_GB2312" w:eastAsia="仿宋_GB2312" w:cs="仿宋" w:hint="eastAsia"/>
          <w:kern w:val="0"/>
          <w:sz w:val="32"/>
          <w:szCs w:val="32"/>
        </w:rPr>
        <w:t>2022年度秦皇岛市人民政府国有资产监督管理委员会部门整体支出年初预算总额为</w:t>
      </w:r>
      <w:r w:rsidRPr="00790651">
        <w:rPr>
          <w:rFonts w:ascii="仿宋_GB2312" w:eastAsia="仿宋_GB2312" w:cs="仿宋"/>
          <w:kern w:val="0"/>
          <w:sz w:val="32"/>
          <w:szCs w:val="32"/>
        </w:rPr>
        <w:t>20507.04</w:t>
      </w:r>
      <w:r w:rsidRPr="00790651">
        <w:rPr>
          <w:rFonts w:ascii="仿宋_GB2312" w:eastAsia="仿宋_GB2312" w:cs="仿宋" w:hint="eastAsia"/>
          <w:kern w:val="0"/>
          <w:sz w:val="32"/>
          <w:szCs w:val="32"/>
        </w:rPr>
        <w:t>万元，预算调整金额</w:t>
      </w:r>
      <w:r w:rsidRPr="00790651">
        <w:rPr>
          <w:rFonts w:ascii="仿宋_GB2312" w:eastAsia="仿宋_GB2312" w:cs="仿宋"/>
          <w:kern w:val="0"/>
          <w:sz w:val="32"/>
          <w:szCs w:val="32"/>
        </w:rPr>
        <w:t>14723.62</w:t>
      </w:r>
      <w:r w:rsidRPr="00790651">
        <w:rPr>
          <w:rFonts w:ascii="仿宋_GB2312" w:eastAsia="仿宋_GB2312" w:cs="仿宋" w:hint="eastAsia"/>
          <w:kern w:val="0"/>
          <w:sz w:val="32"/>
          <w:szCs w:val="32"/>
        </w:rPr>
        <w:t>万元，预算执行金额</w:t>
      </w:r>
      <w:r w:rsidRPr="00790651">
        <w:rPr>
          <w:rFonts w:ascii="仿宋_GB2312" w:eastAsia="仿宋_GB2312" w:cs="仿宋"/>
          <w:kern w:val="0"/>
          <w:sz w:val="32"/>
          <w:szCs w:val="32"/>
        </w:rPr>
        <w:t>14723.62</w:t>
      </w:r>
      <w:r w:rsidRPr="00790651">
        <w:rPr>
          <w:rFonts w:ascii="仿宋_GB2312" w:eastAsia="仿宋_GB2312" w:cs="仿宋" w:hint="eastAsia"/>
          <w:kern w:val="0"/>
          <w:sz w:val="32"/>
          <w:szCs w:val="32"/>
        </w:rPr>
        <w:t>万元，预算执行率为100%。详见下表:</w:t>
      </w:r>
    </w:p>
    <w:p w14:paraId="634BA5E5" w14:textId="77777777" w:rsidR="00790651" w:rsidRDefault="00790651" w:rsidP="00A55159">
      <w:pPr>
        <w:pStyle w:val="2"/>
      </w:pPr>
    </w:p>
    <w:tbl>
      <w:tblPr>
        <w:tblW w:w="948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57"/>
        <w:gridCol w:w="1651"/>
        <w:gridCol w:w="1751"/>
        <w:gridCol w:w="1701"/>
        <w:gridCol w:w="1621"/>
      </w:tblGrid>
      <w:tr w:rsidR="00790651" w14:paraId="2BB818D8"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68283F52"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b/>
                <w:bCs/>
                <w:kern w:val="0"/>
                <w:szCs w:val="21"/>
              </w:rPr>
              <w:t>资金分类</w:t>
            </w:r>
            <w:r>
              <w:rPr>
                <w:rFonts w:ascii="仿宋_GB2312" w:eastAsia="仿宋_GB2312" w:cs="宋体" w:hint="eastAsia"/>
                <w:b/>
                <w:bCs/>
                <w:kern w:val="0"/>
                <w:szCs w:val="21"/>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213AA"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全年预算</w:t>
            </w:r>
          </w:p>
          <w:p w14:paraId="2F8949A9"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批复数</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0DB9742"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全年预算数</w:t>
            </w:r>
            <w:r>
              <w:rPr>
                <w:rFonts w:ascii="仿宋_GB2312" w:eastAsia="仿宋_GB2312" w:cs="宋体" w:hint="eastAsia"/>
                <w:b/>
                <w:bCs/>
                <w:kern w:val="0"/>
                <w:szCs w:val="21"/>
              </w:rPr>
              <w:br/>
              <w:t>(调整后)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6A807"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全年预算</w:t>
            </w:r>
          </w:p>
          <w:p w14:paraId="08A8E159"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执行数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51D9CDC6" w14:textId="77777777" w:rsidR="00790651" w:rsidRDefault="00790651" w:rsidP="00A55159">
            <w:pPr>
              <w:adjustRightInd w:val="0"/>
              <w:snapToGrid w:val="0"/>
              <w:jc w:val="center"/>
              <w:rPr>
                <w:rFonts w:ascii="仿宋_GB2312" w:eastAsia="仿宋_GB2312" w:cs="宋体"/>
                <w:b/>
                <w:bCs/>
                <w:kern w:val="0"/>
                <w:szCs w:val="21"/>
              </w:rPr>
            </w:pPr>
            <w:r>
              <w:rPr>
                <w:rFonts w:ascii="仿宋_GB2312" w:eastAsia="仿宋_GB2312" w:cs="宋体" w:hint="eastAsia"/>
                <w:b/>
                <w:bCs/>
                <w:kern w:val="0"/>
                <w:szCs w:val="21"/>
              </w:rPr>
              <w:t>执行率（%）</w:t>
            </w:r>
          </w:p>
        </w:tc>
      </w:tr>
      <w:tr w:rsidR="00790651" w14:paraId="18592F3D"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509DF03B" w14:textId="77777777" w:rsidR="00790651" w:rsidRDefault="00790651" w:rsidP="00A55159">
            <w:pPr>
              <w:adjustRightInd w:val="0"/>
              <w:snapToGrid w:val="0"/>
              <w:jc w:val="center"/>
              <w:rPr>
                <w:rFonts w:ascii="仿宋_GB2312" w:eastAsia="仿宋_GB2312" w:cs="宋体"/>
                <w:b/>
                <w:kern w:val="0"/>
                <w:szCs w:val="21"/>
              </w:rPr>
            </w:pPr>
            <w:r>
              <w:rPr>
                <w:rFonts w:ascii="仿宋_GB2312" w:eastAsia="仿宋_GB2312" w:cs="宋体" w:hint="eastAsia"/>
                <w:b/>
                <w:kern w:val="0"/>
                <w:szCs w:val="21"/>
              </w:rPr>
              <w:t>资金来源：</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615F880"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hint="eastAsia"/>
                <w:b/>
                <w:kern w:val="0"/>
                <w:szCs w:val="21"/>
              </w:rPr>
              <w:t>20507.04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3EB2403" w14:textId="77777777" w:rsidR="00790651" w:rsidRDefault="00790651" w:rsidP="00A55159">
            <w:pPr>
              <w:adjustRightInd w:val="0"/>
              <w:snapToGrid w:val="0"/>
              <w:jc w:val="right"/>
            </w:pPr>
            <w:r>
              <w:rPr>
                <w:rFonts w:ascii="仿宋_GB2312" w:eastAsia="仿宋_GB2312" w:cs="宋体" w:hint="eastAsia"/>
                <w:b/>
                <w:kern w:val="0"/>
                <w:szCs w:val="21"/>
              </w:rPr>
              <w:t>14723.62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D154F2" w14:textId="77777777" w:rsidR="00790651" w:rsidRDefault="00790651" w:rsidP="00A55159">
            <w:pPr>
              <w:adjustRightInd w:val="0"/>
              <w:snapToGrid w:val="0"/>
              <w:jc w:val="right"/>
            </w:pPr>
            <w:r>
              <w:rPr>
                <w:rFonts w:ascii="仿宋_GB2312" w:eastAsia="仿宋_GB2312" w:cs="宋体"/>
                <w:b/>
                <w:kern w:val="0"/>
                <w:szCs w:val="21"/>
              </w:rPr>
              <w:t>14723.62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0FB470D4"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hint="eastAsia"/>
                <w:b/>
                <w:kern w:val="0"/>
                <w:szCs w:val="21"/>
              </w:rPr>
              <w:t>100.00</w:t>
            </w:r>
          </w:p>
        </w:tc>
      </w:tr>
      <w:tr w:rsidR="00790651" w14:paraId="342FEA74"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3075EFCF"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（1）财政拨款</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377D97F7"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20507.04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83BA84F" w14:textId="77777777" w:rsidR="00790651" w:rsidRDefault="00790651" w:rsidP="00A55159">
            <w:pPr>
              <w:adjustRightInd w:val="0"/>
              <w:snapToGrid w:val="0"/>
              <w:jc w:val="right"/>
            </w:pPr>
            <w:r>
              <w:rPr>
                <w:rFonts w:ascii="仿宋_GB2312" w:eastAsia="仿宋_GB2312" w:cs="宋体" w:hint="eastAsia"/>
                <w:kern w:val="0"/>
                <w:szCs w:val="21"/>
              </w:rPr>
              <w:t>14679.91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4C6C6" w14:textId="77777777" w:rsidR="00790651" w:rsidRDefault="00790651" w:rsidP="00A55159">
            <w:pPr>
              <w:adjustRightInd w:val="0"/>
              <w:snapToGrid w:val="0"/>
              <w:jc w:val="right"/>
            </w:pPr>
            <w:r>
              <w:rPr>
                <w:rFonts w:ascii="仿宋_GB2312" w:eastAsia="仿宋_GB2312" w:cs="宋体" w:hint="eastAsia"/>
                <w:kern w:val="0"/>
                <w:szCs w:val="21"/>
              </w:rPr>
              <w:t>14679.91</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593A7F3B"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0153D0CE"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D422CD3"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（2）其他资金</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EBE5578" w14:textId="77777777" w:rsidR="00790651" w:rsidRDefault="00790651" w:rsidP="00A55159">
            <w:pPr>
              <w:adjustRightInd w:val="0"/>
              <w:snapToGrid w:val="0"/>
              <w:jc w:val="right"/>
              <w:rPr>
                <w:rFonts w:ascii="仿宋_GB2312" w:eastAsia="仿宋_GB2312" w:cs="宋体"/>
                <w:kern w:val="0"/>
                <w:szCs w:val="21"/>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6E1CCFC"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43.71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1CB11"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43.71</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1583E1E"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136122E8"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077E2264" w14:textId="77777777" w:rsidR="00790651" w:rsidRDefault="00790651" w:rsidP="00A55159">
            <w:pPr>
              <w:adjustRightInd w:val="0"/>
              <w:snapToGrid w:val="0"/>
              <w:jc w:val="center"/>
              <w:rPr>
                <w:rFonts w:ascii="仿宋_GB2312" w:eastAsia="仿宋_GB2312" w:cs="宋体"/>
                <w:b/>
                <w:kern w:val="0"/>
                <w:szCs w:val="21"/>
              </w:rPr>
            </w:pPr>
            <w:r>
              <w:rPr>
                <w:rFonts w:ascii="仿宋_GB2312" w:eastAsia="仿宋_GB2312" w:cs="宋体" w:hint="eastAsia"/>
                <w:b/>
                <w:kern w:val="0"/>
                <w:szCs w:val="21"/>
              </w:rPr>
              <w:t>资金性质：</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0CFA089C"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hint="eastAsia"/>
                <w:b/>
                <w:kern w:val="0"/>
                <w:szCs w:val="21"/>
              </w:rPr>
              <w:t>20507.04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F290313"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b/>
                <w:kern w:val="0"/>
                <w:szCs w:val="21"/>
              </w:rPr>
              <w:t>14723.62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67F384"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b/>
                <w:kern w:val="0"/>
                <w:szCs w:val="21"/>
              </w:rPr>
              <w:t>14723.62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5F5D7B6"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b/>
                <w:kern w:val="0"/>
                <w:szCs w:val="21"/>
              </w:rPr>
              <w:t>100.00</w:t>
            </w:r>
          </w:p>
        </w:tc>
      </w:tr>
      <w:tr w:rsidR="00790651" w14:paraId="187CE898"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1084E431"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（1）一般公共预算</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532F155"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16257.16</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E61394D"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8756.37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FF646"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8756.37</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4F790DB"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52F00E70"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0AF3CA31"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（2）政府性基金预算</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45A06B67"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600.00</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64531B3"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2600.00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906D5B"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2600.00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AC000EC"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024ED0CF"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5E66BB13"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（3）国有资本经营预算</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2623A052"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3649.88</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FCA2A27"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3323.54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FF521"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3323.54</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642BE075"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3A4C8F0D"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4AD42AF"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（4）其他收入</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25E3F0DF" w14:textId="77777777" w:rsidR="00790651" w:rsidRDefault="00790651" w:rsidP="00A55159">
            <w:pPr>
              <w:adjustRightInd w:val="0"/>
              <w:snapToGrid w:val="0"/>
              <w:jc w:val="right"/>
              <w:rPr>
                <w:rFonts w:ascii="仿宋_GB2312" w:eastAsia="仿宋_GB2312" w:cs="宋体"/>
                <w:kern w:val="0"/>
                <w:szCs w:val="21"/>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49C5575"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43.71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87370D"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43.71</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1A57EDDA"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100.00</w:t>
            </w:r>
          </w:p>
        </w:tc>
      </w:tr>
      <w:tr w:rsidR="00790651" w14:paraId="3C2F882E"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618AACF" w14:textId="77777777" w:rsidR="00790651" w:rsidRDefault="00790651" w:rsidP="00A55159">
            <w:pPr>
              <w:adjustRightInd w:val="0"/>
              <w:snapToGrid w:val="0"/>
              <w:jc w:val="center"/>
              <w:rPr>
                <w:rFonts w:ascii="仿宋_GB2312" w:eastAsia="仿宋_GB2312" w:cs="宋体"/>
                <w:b/>
                <w:kern w:val="0"/>
                <w:szCs w:val="21"/>
              </w:rPr>
            </w:pPr>
            <w:r>
              <w:rPr>
                <w:rFonts w:ascii="仿宋_GB2312" w:eastAsia="仿宋_GB2312" w:cs="宋体" w:hint="eastAsia"/>
                <w:b/>
                <w:kern w:val="0"/>
                <w:szCs w:val="21"/>
              </w:rPr>
              <w:t>资金结构：</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B5D8CCF" w14:textId="77777777" w:rsidR="00790651" w:rsidRDefault="00790651" w:rsidP="00A55159">
            <w:pPr>
              <w:adjustRightInd w:val="0"/>
              <w:snapToGrid w:val="0"/>
              <w:jc w:val="right"/>
              <w:rPr>
                <w:rFonts w:ascii="仿宋_GB2312" w:eastAsia="仿宋_GB2312" w:cs="宋体"/>
                <w:b/>
                <w:kern w:val="0"/>
                <w:szCs w:val="21"/>
              </w:rPr>
            </w:pPr>
            <w:r>
              <w:rPr>
                <w:rFonts w:ascii="仿宋_GB2312" w:eastAsia="仿宋_GB2312" w:cs="宋体" w:hint="eastAsia"/>
                <w:b/>
                <w:kern w:val="0"/>
                <w:szCs w:val="21"/>
              </w:rPr>
              <w:t>20507.04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EEFB138" w14:textId="77777777" w:rsidR="00790651" w:rsidRDefault="00790651" w:rsidP="00A55159">
            <w:pPr>
              <w:adjustRightInd w:val="0"/>
              <w:snapToGrid w:val="0"/>
              <w:jc w:val="right"/>
            </w:pPr>
            <w:r>
              <w:rPr>
                <w:rFonts w:ascii="仿宋_GB2312" w:eastAsia="仿宋_GB2312" w:cs="宋体"/>
                <w:b/>
                <w:kern w:val="0"/>
                <w:szCs w:val="21"/>
              </w:rPr>
              <w:t>14723.62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EB13E" w14:textId="77777777" w:rsidR="00790651" w:rsidRDefault="00790651" w:rsidP="00A55159">
            <w:pPr>
              <w:adjustRightInd w:val="0"/>
              <w:snapToGrid w:val="0"/>
              <w:jc w:val="right"/>
            </w:pPr>
            <w:r>
              <w:rPr>
                <w:rFonts w:ascii="仿宋_GB2312" w:eastAsia="仿宋_GB2312" w:cs="宋体"/>
                <w:b/>
                <w:kern w:val="0"/>
                <w:szCs w:val="21"/>
              </w:rPr>
              <w:t>14723.62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D929A20"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27D6434E"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06881C4A"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（1）基本支出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2EB1F29D"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2166.34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BB53F8F"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1939.92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543892"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1939.92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010B4156"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544F0095"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61E0D09E"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t>（2）项目支出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08B0151B"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18340.70</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626648E"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hint="eastAsia"/>
                <w:kern w:val="0"/>
                <w:szCs w:val="21"/>
              </w:rPr>
              <w:t>12783.70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EC7AD1"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12783.70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0309EF6" w14:textId="77777777" w:rsidR="00790651" w:rsidRDefault="00790651" w:rsidP="00A55159">
            <w:pPr>
              <w:adjustRightInd w:val="0"/>
              <w:snapToGrid w:val="0"/>
              <w:jc w:val="right"/>
              <w:rPr>
                <w:rFonts w:ascii="仿宋_GB2312" w:eastAsia="仿宋_GB2312" w:cs="宋体"/>
                <w:kern w:val="0"/>
                <w:szCs w:val="21"/>
              </w:rPr>
            </w:pPr>
            <w:r>
              <w:rPr>
                <w:rFonts w:ascii="仿宋_GB2312" w:eastAsia="仿宋_GB2312" w:cs="宋体"/>
                <w:kern w:val="0"/>
                <w:szCs w:val="21"/>
              </w:rPr>
              <w:t>100.00</w:t>
            </w:r>
          </w:p>
        </w:tc>
      </w:tr>
      <w:tr w:rsidR="00790651" w14:paraId="722C475C" w14:textId="77777777" w:rsidTr="0004388E">
        <w:trPr>
          <w:trHeight w:val="20"/>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75D63D53" w14:textId="77777777" w:rsidR="00790651" w:rsidRDefault="00790651" w:rsidP="00A55159">
            <w:pPr>
              <w:adjustRightInd w:val="0"/>
              <w:snapToGrid w:val="0"/>
              <w:jc w:val="left"/>
              <w:rPr>
                <w:rFonts w:ascii="仿宋_GB2312" w:eastAsia="仿宋_GB2312" w:cs="宋体"/>
                <w:kern w:val="0"/>
                <w:szCs w:val="21"/>
              </w:rPr>
            </w:pPr>
            <w:r>
              <w:rPr>
                <w:rFonts w:ascii="仿宋_GB2312" w:eastAsia="仿宋_GB2312" w:cs="宋体" w:hint="eastAsia"/>
                <w:kern w:val="0"/>
                <w:szCs w:val="21"/>
              </w:rPr>
              <w:lastRenderedPageBreak/>
              <w:t>（3）其他支出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36FB9A41" w14:textId="77777777" w:rsidR="00790651" w:rsidRDefault="00790651" w:rsidP="00A55159">
            <w:pPr>
              <w:adjustRightInd w:val="0"/>
              <w:snapToGrid w:val="0"/>
              <w:jc w:val="right"/>
              <w:rPr>
                <w:rFonts w:ascii="仿宋_GB2312" w:eastAsia="仿宋_GB2312" w:cs="宋体"/>
                <w:kern w:val="0"/>
                <w:szCs w:val="21"/>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D598840" w14:textId="77777777" w:rsidR="00790651" w:rsidRDefault="00790651" w:rsidP="00A55159">
            <w:pPr>
              <w:adjustRightInd w:val="0"/>
              <w:snapToGrid w:val="0"/>
              <w:jc w:val="right"/>
              <w:rPr>
                <w:rFonts w:ascii="仿宋_GB2312" w:eastAsia="仿宋_GB2312" w:cs="宋体"/>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CCFAE2" w14:textId="77777777" w:rsidR="00790651" w:rsidRDefault="00790651" w:rsidP="00A55159">
            <w:pPr>
              <w:adjustRightInd w:val="0"/>
              <w:snapToGrid w:val="0"/>
              <w:jc w:val="right"/>
              <w:rPr>
                <w:rFonts w:ascii="仿宋_GB2312" w:eastAsia="仿宋_GB2312" w:cs="宋体"/>
                <w:kern w:val="0"/>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8C17EDA" w14:textId="77777777" w:rsidR="00790651" w:rsidRDefault="00790651" w:rsidP="00A55159">
            <w:pPr>
              <w:adjustRightInd w:val="0"/>
              <w:snapToGrid w:val="0"/>
              <w:jc w:val="right"/>
              <w:rPr>
                <w:rFonts w:ascii="仿宋_GB2312" w:eastAsia="仿宋_GB2312" w:cs="宋体"/>
                <w:kern w:val="0"/>
                <w:szCs w:val="21"/>
              </w:rPr>
            </w:pPr>
          </w:p>
        </w:tc>
      </w:tr>
    </w:tbl>
    <w:p w14:paraId="27BA9048" w14:textId="77777777" w:rsidR="00790651" w:rsidRPr="00790651" w:rsidRDefault="00790651" w:rsidP="00A55159">
      <w:pPr>
        <w:spacing w:line="500" w:lineRule="exact"/>
        <w:ind w:firstLineChars="200" w:firstLine="643"/>
        <w:rPr>
          <w:rFonts w:ascii="仿宋_GB2312" w:eastAsia="仿宋_GB2312" w:cs="仿宋"/>
          <w:b/>
          <w:kern w:val="0"/>
          <w:sz w:val="32"/>
          <w:szCs w:val="32"/>
        </w:rPr>
      </w:pPr>
      <w:r w:rsidRPr="00790651">
        <w:rPr>
          <w:rFonts w:ascii="仿宋_GB2312" w:eastAsia="仿宋_GB2312" w:cs="仿宋" w:hint="eastAsia"/>
          <w:b/>
          <w:kern w:val="0"/>
          <w:sz w:val="32"/>
          <w:szCs w:val="32"/>
        </w:rPr>
        <w:t>（三）年度履职和重点项目实施情况</w:t>
      </w:r>
    </w:p>
    <w:p w14:paraId="3B3DD760" w14:textId="77777777" w:rsidR="00790651" w:rsidRPr="00790651" w:rsidRDefault="00790651" w:rsidP="00A55159">
      <w:pPr>
        <w:spacing w:line="500" w:lineRule="exact"/>
        <w:ind w:firstLineChars="200" w:firstLine="640"/>
        <w:rPr>
          <w:rFonts w:ascii="仿宋_GB2312" w:eastAsia="仿宋_GB2312" w:cs="仿宋"/>
          <w:kern w:val="0"/>
          <w:sz w:val="32"/>
          <w:szCs w:val="32"/>
        </w:rPr>
      </w:pPr>
      <w:r w:rsidRPr="00790651">
        <w:rPr>
          <w:rFonts w:ascii="仿宋_GB2312" w:eastAsia="仿宋_GB2312" w:cs="仿宋" w:hint="eastAsia"/>
          <w:kern w:val="0"/>
          <w:sz w:val="32"/>
          <w:szCs w:val="32"/>
        </w:rPr>
        <w:t>1、优化国企布局结构，对市本级经营性国有资产集中统一监管实现全覆盖，进一步明确了城发集团发展方向，重组整合市属国企，推动国有资产向优势企业和优质项目聚集。</w:t>
      </w:r>
    </w:p>
    <w:p w14:paraId="4E7C40B6" w14:textId="77777777" w:rsidR="00790651" w:rsidRPr="00790651" w:rsidRDefault="00790651" w:rsidP="00A55159">
      <w:pPr>
        <w:spacing w:line="500" w:lineRule="exact"/>
        <w:ind w:firstLineChars="200" w:firstLine="640"/>
        <w:rPr>
          <w:rFonts w:ascii="仿宋_GB2312" w:eastAsia="仿宋_GB2312" w:cs="仿宋"/>
          <w:kern w:val="0"/>
          <w:sz w:val="32"/>
          <w:szCs w:val="32"/>
        </w:rPr>
      </w:pPr>
      <w:r w:rsidRPr="00790651">
        <w:rPr>
          <w:rFonts w:ascii="仿宋_GB2312" w:eastAsia="仿宋_GB2312" w:cs="仿宋" w:hint="eastAsia"/>
          <w:kern w:val="0"/>
          <w:sz w:val="32"/>
          <w:szCs w:val="32"/>
        </w:rPr>
        <w:t>2、完成对所监管企业国有资产的保值增值情况的监管，完成了对监管企业年度财务决算审计。</w:t>
      </w:r>
    </w:p>
    <w:p w14:paraId="0FCB60DC" w14:textId="77777777" w:rsidR="00790651" w:rsidRPr="00790651" w:rsidRDefault="00790651" w:rsidP="00A55159">
      <w:pPr>
        <w:spacing w:line="500" w:lineRule="exact"/>
        <w:ind w:firstLineChars="200" w:firstLine="640"/>
        <w:rPr>
          <w:rFonts w:ascii="仿宋_GB2312" w:eastAsia="仿宋_GB2312" w:cs="仿宋"/>
          <w:kern w:val="0"/>
          <w:sz w:val="32"/>
          <w:szCs w:val="32"/>
        </w:rPr>
      </w:pPr>
      <w:r w:rsidRPr="00790651">
        <w:rPr>
          <w:rFonts w:ascii="仿宋_GB2312" w:eastAsia="仿宋_GB2312" w:cs="仿宋" w:hint="eastAsia"/>
          <w:kern w:val="0"/>
          <w:sz w:val="32"/>
          <w:szCs w:val="32"/>
        </w:rPr>
        <w:t>3、负责组织所监管企业上交国有资本收益，2022年上缴的国有资本收益共43861.51万元。</w:t>
      </w:r>
    </w:p>
    <w:p w14:paraId="084F8A21" w14:textId="77777777" w:rsidR="00790651" w:rsidRPr="00790651" w:rsidRDefault="00790651" w:rsidP="00A55159">
      <w:pPr>
        <w:spacing w:line="500" w:lineRule="exact"/>
        <w:ind w:firstLineChars="200" w:firstLine="640"/>
        <w:rPr>
          <w:rFonts w:ascii="仿宋_GB2312" w:eastAsia="仿宋_GB2312" w:cs="仿宋"/>
          <w:kern w:val="0"/>
          <w:sz w:val="32"/>
          <w:szCs w:val="32"/>
        </w:rPr>
      </w:pPr>
      <w:r w:rsidRPr="00790651">
        <w:rPr>
          <w:rFonts w:ascii="仿宋_GB2312" w:eastAsia="仿宋_GB2312" w:cs="仿宋" w:hint="eastAsia"/>
          <w:kern w:val="0"/>
          <w:sz w:val="32"/>
          <w:szCs w:val="32"/>
        </w:rPr>
        <w:t>4、承担秦皇岛市事业单位改革领导小组办公室日常工作，负责事</w:t>
      </w:r>
      <w:proofErr w:type="gramStart"/>
      <w:r w:rsidRPr="00790651">
        <w:rPr>
          <w:rFonts w:ascii="仿宋_GB2312" w:eastAsia="仿宋_GB2312" w:cs="仿宋" w:hint="eastAsia"/>
          <w:kern w:val="0"/>
          <w:sz w:val="32"/>
          <w:szCs w:val="32"/>
        </w:rPr>
        <w:t>转企单位</w:t>
      </w:r>
      <w:proofErr w:type="gramEnd"/>
      <w:r w:rsidRPr="00790651">
        <w:rPr>
          <w:rFonts w:ascii="仿宋_GB2312" w:eastAsia="仿宋_GB2312" w:cs="仿宋" w:hint="eastAsia"/>
          <w:kern w:val="0"/>
          <w:sz w:val="32"/>
          <w:szCs w:val="32"/>
        </w:rPr>
        <w:t>企业改制工作，完成拨付国有企业职教幼教退休教师415人的补助资金、改制企业长期费用、7个单位的</w:t>
      </w:r>
      <w:proofErr w:type="gramStart"/>
      <w:r w:rsidRPr="00790651">
        <w:rPr>
          <w:rFonts w:ascii="仿宋_GB2312" w:eastAsia="仿宋_GB2312" w:cs="仿宋" w:hint="eastAsia"/>
          <w:kern w:val="0"/>
          <w:sz w:val="32"/>
          <w:szCs w:val="32"/>
        </w:rPr>
        <w:t>事转企待遇</w:t>
      </w:r>
      <w:proofErr w:type="gramEnd"/>
      <w:r w:rsidRPr="00790651">
        <w:rPr>
          <w:rFonts w:ascii="仿宋_GB2312" w:eastAsia="仿宋_GB2312" w:cs="仿宋" w:hint="eastAsia"/>
          <w:kern w:val="0"/>
          <w:sz w:val="32"/>
          <w:szCs w:val="32"/>
        </w:rPr>
        <w:t>差和海上俱乐部人员2022年薪</w:t>
      </w:r>
      <w:proofErr w:type="gramStart"/>
      <w:r w:rsidRPr="00790651">
        <w:rPr>
          <w:rFonts w:ascii="仿宋_GB2312" w:eastAsia="仿宋_GB2312" w:cs="仿宋" w:hint="eastAsia"/>
          <w:kern w:val="0"/>
          <w:sz w:val="32"/>
          <w:szCs w:val="32"/>
        </w:rPr>
        <w:t>酬</w:t>
      </w:r>
      <w:proofErr w:type="gramEnd"/>
      <w:r w:rsidRPr="00790651">
        <w:rPr>
          <w:rFonts w:ascii="仿宋_GB2312" w:eastAsia="仿宋_GB2312" w:cs="仿宋" w:hint="eastAsia"/>
          <w:kern w:val="0"/>
          <w:sz w:val="32"/>
          <w:szCs w:val="32"/>
        </w:rPr>
        <w:t>补贴。</w:t>
      </w:r>
    </w:p>
    <w:p w14:paraId="6E72BBEC" w14:textId="77777777" w:rsidR="00790651" w:rsidRPr="00790651" w:rsidRDefault="00790651" w:rsidP="00A55159">
      <w:pPr>
        <w:spacing w:line="500" w:lineRule="exact"/>
        <w:ind w:firstLineChars="200" w:firstLine="640"/>
        <w:rPr>
          <w:rFonts w:ascii="仿宋_GB2312" w:eastAsia="仿宋_GB2312" w:cs="仿宋"/>
          <w:sz w:val="32"/>
          <w:szCs w:val="32"/>
        </w:rPr>
      </w:pPr>
      <w:r w:rsidRPr="00790651">
        <w:rPr>
          <w:rFonts w:ascii="仿宋_GB2312" w:eastAsia="仿宋_GB2312" w:cs="仿宋" w:hint="eastAsia"/>
          <w:kern w:val="0"/>
          <w:sz w:val="32"/>
          <w:szCs w:val="32"/>
        </w:rPr>
        <w:t>5、</w:t>
      </w:r>
      <w:proofErr w:type="gramStart"/>
      <w:r w:rsidRPr="00790651">
        <w:rPr>
          <w:rFonts w:ascii="仿宋_GB2312" w:eastAsia="仿宋_GB2312" w:cs="仿宋" w:hint="eastAsia"/>
          <w:kern w:val="0"/>
          <w:sz w:val="32"/>
          <w:szCs w:val="32"/>
        </w:rPr>
        <w:t>指导市</w:t>
      </w:r>
      <w:proofErr w:type="gramEnd"/>
      <w:r w:rsidRPr="00790651">
        <w:rPr>
          <w:rFonts w:ascii="仿宋_GB2312" w:eastAsia="仿宋_GB2312" w:cs="仿宋" w:hint="eastAsia"/>
          <w:kern w:val="0"/>
          <w:sz w:val="32"/>
          <w:szCs w:val="32"/>
        </w:rPr>
        <w:t>国资</w:t>
      </w:r>
      <w:proofErr w:type="gramStart"/>
      <w:r w:rsidRPr="00790651">
        <w:rPr>
          <w:rFonts w:ascii="仿宋_GB2312" w:eastAsia="仿宋_GB2312" w:cs="仿宋" w:hint="eastAsia"/>
          <w:kern w:val="0"/>
          <w:sz w:val="32"/>
          <w:szCs w:val="32"/>
        </w:rPr>
        <w:t>委履行</w:t>
      </w:r>
      <w:proofErr w:type="gramEnd"/>
      <w:r w:rsidRPr="00790651">
        <w:rPr>
          <w:rFonts w:ascii="仿宋_GB2312" w:eastAsia="仿宋_GB2312" w:cs="仿宋" w:hint="eastAsia"/>
          <w:kern w:val="0"/>
          <w:sz w:val="32"/>
          <w:szCs w:val="32"/>
        </w:rPr>
        <w:t>出资人职责的国有资本投资、运营公司开展国有资本运营。涉及的重大项目有：</w:t>
      </w:r>
      <w:proofErr w:type="gramStart"/>
      <w:r w:rsidRPr="00790651">
        <w:rPr>
          <w:rFonts w:ascii="仿宋_GB2312" w:eastAsia="仿宋_GB2312" w:cs="仿宋" w:hint="eastAsia"/>
          <w:kern w:val="0"/>
          <w:sz w:val="32"/>
          <w:szCs w:val="32"/>
        </w:rPr>
        <w:t>秦冶投资</w:t>
      </w:r>
      <w:proofErr w:type="gramEnd"/>
      <w:r w:rsidRPr="00790651">
        <w:rPr>
          <w:rFonts w:ascii="仿宋_GB2312" w:eastAsia="仿宋_GB2312" w:cs="仿宋" w:hint="eastAsia"/>
          <w:kern w:val="0"/>
          <w:sz w:val="32"/>
          <w:szCs w:val="32"/>
        </w:rPr>
        <w:t>置业公司家属区供水改造和三供</w:t>
      </w:r>
      <w:proofErr w:type="gramStart"/>
      <w:r w:rsidRPr="00790651">
        <w:rPr>
          <w:rFonts w:ascii="仿宋_GB2312" w:eastAsia="仿宋_GB2312" w:cs="仿宋" w:hint="eastAsia"/>
          <w:kern w:val="0"/>
          <w:sz w:val="32"/>
          <w:szCs w:val="32"/>
        </w:rPr>
        <w:t>一</w:t>
      </w:r>
      <w:proofErr w:type="gramEnd"/>
      <w:r w:rsidRPr="00790651">
        <w:rPr>
          <w:rFonts w:ascii="仿宋_GB2312" w:eastAsia="仿宋_GB2312" w:cs="仿宋" w:hint="eastAsia"/>
          <w:kern w:val="0"/>
          <w:sz w:val="32"/>
          <w:szCs w:val="32"/>
        </w:rPr>
        <w:t>业移交补助支出、海浪花拆迁安置项目、市引青济秦扩建三期工程项目的借款本金和利息等的支付、润安公司注入资本金、新增</w:t>
      </w:r>
      <w:proofErr w:type="gramStart"/>
      <w:r w:rsidRPr="00790651">
        <w:rPr>
          <w:rFonts w:ascii="仿宋_GB2312" w:eastAsia="仿宋_GB2312" w:cs="仿宋" w:hint="eastAsia"/>
          <w:kern w:val="0"/>
          <w:sz w:val="32"/>
          <w:szCs w:val="32"/>
        </w:rPr>
        <w:t>债用于</w:t>
      </w:r>
      <w:proofErr w:type="gramEnd"/>
      <w:r w:rsidRPr="00790651">
        <w:rPr>
          <w:rFonts w:ascii="仿宋_GB2312" w:eastAsia="仿宋_GB2312" w:cs="仿宋" w:hint="eastAsia"/>
          <w:kern w:val="0"/>
          <w:sz w:val="32"/>
          <w:szCs w:val="32"/>
        </w:rPr>
        <w:t>粮油食品加工产业</w:t>
      </w:r>
      <w:proofErr w:type="gramStart"/>
      <w:r w:rsidRPr="00790651">
        <w:rPr>
          <w:rFonts w:ascii="仿宋_GB2312" w:eastAsia="仿宋_GB2312" w:cs="仿宋" w:hint="eastAsia"/>
          <w:kern w:val="0"/>
          <w:sz w:val="32"/>
          <w:szCs w:val="32"/>
        </w:rPr>
        <w:t>园基础</w:t>
      </w:r>
      <w:proofErr w:type="gramEnd"/>
      <w:r w:rsidRPr="00790651">
        <w:rPr>
          <w:rFonts w:ascii="仿宋_GB2312" w:eastAsia="仿宋_GB2312" w:cs="仿宋" w:hint="eastAsia"/>
          <w:kern w:val="0"/>
          <w:sz w:val="32"/>
          <w:szCs w:val="32"/>
        </w:rPr>
        <w:t>设施配套建设（除电缆工程外的其他工程基本完成，整体工程未按预定工期完工）；完成对秦皇岛市液化石油气总公司、资产经营公司、公交公司的财政资金补贴，未拨付秦皇岛渤威建设投资有限公司运营补贴。</w:t>
      </w:r>
    </w:p>
    <w:p w14:paraId="42A045D2" w14:textId="77777777" w:rsidR="00790651" w:rsidRPr="00790651" w:rsidRDefault="00790651" w:rsidP="00A55159">
      <w:pPr>
        <w:spacing w:line="500" w:lineRule="exact"/>
        <w:ind w:firstLineChars="200" w:firstLine="643"/>
        <w:rPr>
          <w:rFonts w:ascii="仿宋_GB2312" w:eastAsia="仿宋_GB2312" w:cs="仿宋"/>
          <w:b/>
          <w:sz w:val="32"/>
          <w:szCs w:val="32"/>
        </w:rPr>
      </w:pPr>
      <w:r w:rsidRPr="00790651">
        <w:rPr>
          <w:rFonts w:ascii="仿宋_GB2312" w:eastAsia="仿宋_GB2312" w:cs="仿宋" w:hint="eastAsia"/>
          <w:b/>
          <w:sz w:val="32"/>
          <w:szCs w:val="32"/>
        </w:rPr>
        <w:t>二、绩效评价工作情况</w:t>
      </w:r>
    </w:p>
    <w:p w14:paraId="19A35126" w14:textId="77777777" w:rsidR="00790651" w:rsidRPr="00790651" w:rsidRDefault="00790651" w:rsidP="00A55159">
      <w:pPr>
        <w:spacing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本次评价对象为秦皇岛市人民政府国有资产监督管理委员会2022年度部门整体支出。</w:t>
      </w:r>
      <w:proofErr w:type="gramStart"/>
      <w:r w:rsidRPr="00790651">
        <w:rPr>
          <w:rFonts w:ascii="仿宋_GB2312" w:eastAsia="仿宋_GB2312" w:cs="仿宋" w:hint="eastAsia"/>
          <w:sz w:val="32"/>
          <w:szCs w:val="32"/>
        </w:rPr>
        <w:t>评价组</w:t>
      </w:r>
      <w:proofErr w:type="gramEnd"/>
      <w:r w:rsidRPr="00790651">
        <w:rPr>
          <w:rFonts w:ascii="仿宋_GB2312" w:eastAsia="仿宋_GB2312" w:cs="仿宋" w:hint="eastAsia"/>
          <w:sz w:val="32"/>
          <w:szCs w:val="32"/>
        </w:rPr>
        <w:t>深入了解考察部门年度预算构成和预算支出情况、主要业务开展情况、部门内部管理情况，在整体把握部门履职情况基础上，对部门投入管理、部门产出、产出效果和满意度等方面进行整体评价，</w:t>
      </w:r>
      <w:r w:rsidRPr="00790651">
        <w:rPr>
          <w:rFonts w:ascii="仿宋_GB2312" w:eastAsia="仿宋_GB2312" w:cs="仿宋" w:hint="eastAsia"/>
          <w:sz w:val="32"/>
          <w:szCs w:val="32"/>
        </w:rPr>
        <w:lastRenderedPageBreak/>
        <w:t>发掘上述各方面的支出成效和管理经验，发现可能存在的问题和不足，并对市国资委今后规范履行部门职能和提高部门预算支出效益提出建设性意见。</w:t>
      </w:r>
    </w:p>
    <w:p w14:paraId="296CD9B3" w14:textId="77777777" w:rsidR="00790651" w:rsidRPr="00790651" w:rsidRDefault="00790651" w:rsidP="00A55159">
      <w:pPr>
        <w:spacing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明确委托方要求的前提下，按照专业需求组建了评价工作组，及时对接被评价部门秦皇岛市人民政府国有资产监督管理委员会，召开单位各业务科室的座谈会，听取各科室负责人的年度重点项目实施情况的工作汇报，有针对性的了解重点项目的立项背景、项目内容、项目实施情况、资金收支情况等。了解部门支出的基本情况后，制定评价方案，建立绩效评价指标体系框架，制作部门支出初步评价资料准备清单。</w:t>
      </w:r>
    </w:p>
    <w:p w14:paraId="4FE87906" w14:textId="77777777" w:rsidR="00790651" w:rsidRPr="00790651" w:rsidRDefault="00790651" w:rsidP="00A55159">
      <w:pPr>
        <w:spacing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针对部门履职情况对监管企业和服务对象发放调查问卷，分析调查结果，并有针对性的提出建议。</w:t>
      </w:r>
    </w:p>
    <w:p w14:paraId="2477C295" w14:textId="77777777" w:rsidR="00790651" w:rsidRPr="00790651" w:rsidRDefault="00790651" w:rsidP="00A55159">
      <w:pPr>
        <w:spacing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评价工作组根据对项目资料、收集的相关数据以及调查问卷进行分析、统计等，对部门整体支出目标管理、投入管理、部门支出产出、部门支出实施效益、满意度、预算执行率等进行综合分析，修正绩效评价指标体系并进行绩效评分。</w:t>
      </w:r>
    </w:p>
    <w:p w14:paraId="21709B15" w14:textId="77777777" w:rsidR="00790651" w:rsidRPr="00790651" w:rsidRDefault="00790651" w:rsidP="00A55159">
      <w:pPr>
        <w:spacing w:line="500" w:lineRule="exact"/>
        <w:ind w:firstLineChars="200" w:firstLine="643"/>
        <w:rPr>
          <w:rFonts w:ascii="仿宋_GB2312" w:eastAsia="仿宋_GB2312" w:cs="仿宋"/>
          <w:b/>
          <w:sz w:val="32"/>
          <w:szCs w:val="32"/>
        </w:rPr>
      </w:pPr>
      <w:r w:rsidRPr="00790651">
        <w:rPr>
          <w:rFonts w:ascii="仿宋_GB2312" w:eastAsia="仿宋_GB2312" w:cs="仿宋" w:hint="eastAsia"/>
          <w:b/>
          <w:sz w:val="32"/>
          <w:szCs w:val="32"/>
        </w:rPr>
        <w:t>三、综合评价情况及评价结论</w:t>
      </w:r>
    </w:p>
    <w:p w14:paraId="77FA3D02" w14:textId="77777777" w:rsidR="00790651" w:rsidRPr="00790651" w:rsidRDefault="00790651" w:rsidP="00A55159">
      <w:pPr>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经综合评价与分析，秦皇岛市人民政府国有资产监督管理委员会2022年度部门整体支出绩效评价综合得分为</w:t>
      </w:r>
      <w:r w:rsidRPr="00790651">
        <w:rPr>
          <w:rFonts w:ascii="仿宋_GB2312" w:eastAsia="仿宋_GB2312"/>
          <w:bCs/>
          <w:sz w:val="32"/>
          <w:szCs w:val="32"/>
        </w:rPr>
        <w:t>88.89</w:t>
      </w:r>
      <w:r w:rsidRPr="00790651">
        <w:rPr>
          <w:rFonts w:ascii="仿宋_GB2312" w:eastAsia="仿宋_GB2312" w:hint="eastAsia"/>
          <w:bCs/>
          <w:sz w:val="32"/>
          <w:szCs w:val="32"/>
        </w:rPr>
        <w:t>分，绩效评价等级为“良”。</w:t>
      </w:r>
    </w:p>
    <w:p w14:paraId="56036166" w14:textId="77777777" w:rsidR="00790651" w:rsidRDefault="00790651" w:rsidP="00A55159">
      <w:pPr>
        <w:spacing w:line="500" w:lineRule="exact"/>
        <w:ind w:firstLineChars="200" w:firstLine="482"/>
        <w:jc w:val="center"/>
        <w:rPr>
          <w:rFonts w:ascii="仿宋_GB2312" w:eastAsia="仿宋_GB2312"/>
          <w:b/>
          <w:bCs/>
          <w:sz w:val="24"/>
          <w:szCs w:val="24"/>
        </w:rPr>
      </w:pPr>
      <w:r>
        <w:rPr>
          <w:rFonts w:ascii="仿宋_GB2312" w:eastAsia="仿宋_GB2312" w:hint="eastAsia"/>
          <w:b/>
          <w:bCs/>
          <w:sz w:val="24"/>
          <w:szCs w:val="24"/>
        </w:rPr>
        <w:t>表1   绩效评价指标得分总体情况</w:t>
      </w:r>
    </w:p>
    <w:tbl>
      <w:tblPr>
        <w:tblW w:w="814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056"/>
        <w:gridCol w:w="2542"/>
        <w:gridCol w:w="2542"/>
      </w:tblGrid>
      <w:tr w:rsidR="00790651" w14:paraId="2D80251A" w14:textId="77777777" w:rsidTr="0004388E">
        <w:trPr>
          <w:trHeight w:val="406"/>
          <w:jc w:val="center"/>
        </w:trPr>
        <w:tc>
          <w:tcPr>
            <w:tcW w:w="3056" w:type="dxa"/>
            <w:tcBorders>
              <w:top w:val="single" w:sz="4" w:space="0" w:color="auto"/>
              <w:left w:val="single" w:sz="4" w:space="0" w:color="auto"/>
              <w:bottom w:val="single" w:sz="4" w:space="0" w:color="auto"/>
              <w:right w:val="single" w:sz="4" w:space="0" w:color="auto"/>
            </w:tcBorders>
            <w:vAlign w:val="center"/>
          </w:tcPr>
          <w:p w14:paraId="5ABC60A4" w14:textId="77777777" w:rsidR="00790651" w:rsidRDefault="00790651" w:rsidP="00A55159">
            <w:pPr>
              <w:autoSpaceDE w:val="0"/>
              <w:autoSpaceDN w:val="0"/>
              <w:adjustRightInd w:val="0"/>
              <w:snapToGrid w:val="0"/>
              <w:spacing w:before="37" w:line="320" w:lineRule="exact"/>
              <w:ind w:right="397"/>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一级指标</w:t>
            </w:r>
          </w:p>
        </w:tc>
        <w:tc>
          <w:tcPr>
            <w:tcW w:w="2542" w:type="dxa"/>
            <w:tcBorders>
              <w:top w:val="single" w:sz="4" w:space="0" w:color="auto"/>
              <w:left w:val="single" w:sz="4" w:space="0" w:color="auto"/>
              <w:bottom w:val="single" w:sz="4" w:space="0" w:color="auto"/>
              <w:right w:val="single" w:sz="4" w:space="0" w:color="auto"/>
            </w:tcBorders>
            <w:vAlign w:val="center"/>
          </w:tcPr>
          <w:p w14:paraId="07D46493" w14:textId="77777777" w:rsidR="00790651" w:rsidRDefault="00790651" w:rsidP="00A55159">
            <w:pPr>
              <w:autoSpaceDE w:val="0"/>
              <w:autoSpaceDN w:val="0"/>
              <w:adjustRightInd w:val="0"/>
              <w:snapToGrid w:val="0"/>
              <w:spacing w:before="37" w:line="320" w:lineRule="exact"/>
              <w:ind w:right="397"/>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 xml:space="preserve">  分值</w:t>
            </w:r>
          </w:p>
        </w:tc>
        <w:tc>
          <w:tcPr>
            <w:tcW w:w="2542" w:type="dxa"/>
            <w:tcBorders>
              <w:top w:val="single" w:sz="4" w:space="0" w:color="auto"/>
              <w:left w:val="single" w:sz="4" w:space="0" w:color="auto"/>
              <w:bottom w:val="single" w:sz="4" w:space="0" w:color="auto"/>
              <w:right w:val="single" w:sz="4" w:space="0" w:color="auto"/>
            </w:tcBorders>
            <w:vAlign w:val="center"/>
          </w:tcPr>
          <w:p w14:paraId="7A230B94" w14:textId="77777777" w:rsidR="00790651" w:rsidRDefault="00790651" w:rsidP="00A55159">
            <w:pPr>
              <w:autoSpaceDE w:val="0"/>
              <w:autoSpaceDN w:val="0"/>
              <w:adjustRightInd w:val="0"/>
              <w:snapToGrid w:val="0"/>
              <w:spacing w:before="37" w:line="320" w:lineRule="exact"/>
              <w:ind w:left="-111" w:right="-83"/>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得分</w:t>
            </w:r>
          </w:p>
        </w:tc>
      </w:tr>
      <w:tr w:rsidR="00790651" w14:paraId="01B117D5" w14:textId="77777777" w:rsidTr="0004388E">
        <w:trPr>
          <w:trHeight w:val="371"/>
          <w:jc w:val="center"/>
        </w:trPr>
        <w:tc>
          <w:tcPr>
            <w:tcW w:w="3056" w:type="dxa"/>
            <w:tcBorders>
              <w:top w:val="single" w:sz="4" w:space="0" w:color="auto"/>
              <w:left w:val="single" w:sz="4" w:space="0" w:color="auto"/>
              <w:bottom w:val="single" w:sz="4" w:space="0" w:color="auto"/>
              <w:right w:val="single" w:sz="4" w:space="0" w:color="auto"/>
            </w:tcBorders>
            <w:vAlign w:val="center"/>
          </w:tcPr>
          <w:p w14:paraId="281C257F" w14:textId="77777777" w:rsidR="00790651" w:rsidRDefault="00790651" w:rsidP="00A55159">
            <w:pPr>
              <w:autoSpaceDE w:val="0"/>
              <w:autoSpaceDN w:val="0"/>
              <w:adjustRightInd w:val="0"/>
              <w:snapToGrid w:val="0"/>
              <w:spacing w:before="53"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投入管理指标</w:t>
            </w:r>
          </w:p>
        </w:tc>
        <w:tc>
          <w:tcPr>
            <w:tcW w:w="2542" w:type="dxa"/>
            <w:tcBorders>
              <w:top w:val="single" w:sz="4" w:space="0" w:color="auto"/>
              <w:left w:val="single" w:sz="4" w:space="0" w:color="auto"/>
              <w:bottom w:val="single" w:sz="4" w:space="0" w:color="auto"/>
              <w:right w:val="single" w:sz="4" w:space="0" w:color="auto"/>
            </w:tcBorders>
            <w:vAlign w:val="center"/>
          </w:tcPr>
          <w:p w14:paraId="5AD744D0" w14:textId="77777777" w:rsidR="00790651" w:rsidRDefault="00790651" w:rsidP="00A55159">
            <w:pPr>
              <w:autoSpaceDE w:val="0"/>
              <w:autoSpaceDN w:val="0"/>
              <w:adjustRightInd w:val="0"/>
              <w:snapToGrid w:val="0"/>
              <w:spacing w:before="53"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 xml:space="preserve">  30</w:t>
            </w:r>
          </w:p>
        </w:tc>
        <w:tc>
          <w:tcPr>
            <w:tcW w:w="2542" w:type="dxa"/>
            <w:tcBorders>
              <w:top w:val="single" w:sz="4" w:space="0" w:color="auto"/>
              <w:left w:val="single" w:sz="4" w:space="0" w:color="auto"/>
              <w:bottom w:val="single" w:sz="4" w:space="0" w:color="auto"/>
              <w:right w:val="single" w:sz="4" w:space="0" w:color="auto"/>
            </w:tcBorders>
            <w:vAlign w:val="center"/>
          </w:tcPr>
          <w:p w14:paraId="0F77CAF0" w14:textId="77777777" w:rsidR="00790651" w:rsidRDefault="00790651" w:rsidP="00A55159">
            <w:pPr>
              <w:autoSpaceDE w:val="0"/>
              <w:autoSpaceDN w:val="0"/>
              <w:adjustRightInd w:val="0"/>
              <w:snapToGrid w:val="0"/>
              <w:spacing w:line="320" w:lineRule="exact"/>
              <w:jc w:val="center"/>
              <w:rPr>
                <w:rFonts w:ascii="仿宋_GB2312" w:eastAsia="仿宋_GB2312" w:cs="仿宋_GB2312"/>
                <w:kern w:val="0"/>
                <w:sz w:val="24"/>
                <w:szCs w:val="24"/>
              </w:rPr>
            </w:pPr>
            <w:r>
              <w:rPr>
                <w:rFonts w:ascii="仿宋_GB2312" w:eastAsia="仿宋_GB2312" w:cs="仿宋_GB2312"/>
                <w:kern w:val="0"/>
                <w:sz w:val="24"/>
                <w:szCs w:val="24"/>
              </w:rPr>
              <w:t>26.99</w:t>
            </w:r>
          </w:p>
        </w:tc>
      </w:tr>
      <w:tr w:rsidR="00790651" w14:paraId="7747AFC1" w14:textId="77777777" w:rsidTr="0004388E">
        <w:trPr>
          <w:trHeight w:val="395"/>
          <w:jc w:val="center"/>
        </w:trPr>
        <w:tc>
          <w:tcPr>
            <w:tcW w:w="3056" w:type="dxa"/>
            <w:tcBorders>
              <w:top w:val="single" w:sz="4" w:space="0" w:color="auto"/>
              <w:left w:val="single" w:sz="4" w:space="0" w:color="auto"/>
              <w:bottom w:val="single" w:sz="4" w:space="0" w:color="auto"/>
              <w:right w:val="single" w:sz="4" w:space="0" w:color="auto"/>
            </w:tcBorders>
            <w:vAlign w:val="center"/>
          </w:tcPr>
          <w:p w14:paraId="01EBF42A"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产出指标</w:t>
            </w:r>
          </w:p>
        </w:tc>
        <w:tc>
          <w:tcPr>
            <w:tcW w:w="2542" w:type="dxa"/>
            <w:tcBorders>
              <w:top w:val="single" w:sz="4" w:space="0" w:color="auto"/>
              <w:left w:val="single" w:sz="4" w:space="0" w:color="auto"/>
              <w:bottom w:val="single" w:sz="4" w:space="0" w:color="auto"/>
              <w:right w:val="single" w:sz="4" w:space="0" w:color="auto"/>
            </w:tcBorders>
            <w:vAlign w:val="center"/>
          </w:tcPr>
          <w:p w14:paraId="5402A210"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 xml:space="preserve">  25</w:t>
            </w:r>
          </w:p>
        </w:tc>
        <w:tc>
          <w:tcPr>
            <w:tcW w:w="2542" w:type="dxa"/>
            <w:tcBorders>
              <w:top w:val="single" w:sz="4" w:space="0" w:color="auto"/>
              <w:left w:val="single" w:sz="4" w:space="0" w:color="auto"/>
              <w:bottom w:val="single" w:sz="4" w:space="0" w:color="auto"/>
              <w:right w:val="single" w:sz="4" w:space="0" w:color="auto"/>
            </w:tcBorders>
            <w:vAlign w:val="center"/>
          </w:tcPr>
          <w:p w14:paraId="04101023" w14:textId="77777777" w:rsidR="00790651" w:rsidRDefault="00790651" w:rsidP="00A55159">
            <w:pPr>
              <w:autoSpaceDE w:val="0"/>
              <w:autoSpaceDN w:val="0"/>
              <w:adjustRightInd w:val="0"/>
              <w:snapToGrid w:val="0"/>
              <w:spacing w:before="1" w:line="320" w:lineRule="exact"/>
              <w:jc w:val="center"/>
              <w:rPr>
                <w:rFonts w:ascii="仿宋_GB2312" w:eastAsia="仿宋_GB2312" w:cs="仿宋_GB2312"/>
                <w:kern w:val="0"/>
                <w:sz w:val="24"/>
                <w:szCs w:val="24"/>
              </w:rPr>
            </w:pPr>
            <w:r>
              <w:rPr>
                <w:rFonts w:ascii="仿宋_GB2312" w:eastAsia="仿宋_GB2312" w:cs="仿宋_GB2312"/>
                <w:kern w:val="0"/>
                <w:sz w:val="24"/>
                <w:szCs w:val="24"/>
              </w:rPr>
              <w:t>20</w:t>
            </w:r>
            <w:r>
              <w:rPr>
                <w:rFonts w:ascii="仿宋_GB2312" w:eastAsia="仿宋_GB2312" w:cs="仿宋_GB2312" w:hint="eastAsia"/>
                <w:kern w:val="0"/>
                <w:sz w:val="24"/>
                <w:szCs w:val="24"/>
              </w:rPr>
              <w:t>.</w:t>
            </w:r>
            <w:r>
              <w:rPr>
                <w:rFonts w:ascii="仿宋_GB2312" w:eastAsia="仿宋_GB2312" w:cs="仿宋_GB2312"/>
                <w:kern w:val="0"/>
                <w:sz w:val="24"/>
                <w:szCs w:val="24"/>
              </w:rPr>
              <w:t>77</w:t>
            </w:r>
          </w:p>
        </w:tc>
      </w:tr>
      <w:tr w:rsidR="00790651" w14:paraId="791C9AED" w14:textId="77777777" w:rsidTr="0004388E">
        <w:trPr>
          <w:trHeight w:val="393"/>
          <w:jc w:val="center"/>
        </w:trPr>
        <w:tc>
          <w:tcPr>
            <w:tcW w:w="3056" w:type="dxa"/>
            <w:tcBorders>
              <w:top w:val="single" w:sz="4" w:space="0" w:color="auto"/>
              <w:left w:val="single" w:sz="4" w:space="0" w:color="auto"/>
              <w:bottom w:val="single" w:sz="4" w:space="0" w:color="auto"/>
              <w:right w:val="single" w:sz="4" w:space="0" w:color="auto"/>
            </w:tcBorders>
            <w:vAlign w:val="center"/>
          </w:tcPr>
          <w:p w14:paraId="142E834A"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效益指标</w:t>
            </w:r>
          </w:p>
        </w:tc>
        <w:tc>
          <w:tcPr>
            <w:tcW w:w="2542" w:type="dxa"/>
            <w:tcBorders>
              <w:top w:val="single" w:sz="4" w:space="0" w:color="auto"/>
              <w:left w:val="single" w:sz="4" w:space="0" w:color="auto"/>
              <w:bottom w:val="single" w:sz="4" w:space="0" w:color="auto"/>
              <w:right w:val="single" w:sz="4" w:space="0" w:color="auto"/>
            </w:tcBorders>
            <w:vAlign w:val="center"/>
          </w:tcPr>
          <w:p w14:paraId="576F713E"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kern w:val="0"/>
                <w:sz w:val="24"/>
                <w:szCs w:val="24"/>
              </w:rPr>
              <w:t xml:space="preserve"> </w:t>
            </w:r>
            <w:r>
              <w:rPr>
                <w:rFonts w:ascii="仿宋_GB2312" w:eastAsia="仿宋_GB2312" w:cs="仿宋_GB2312" w:hint="eastAsia"/>
                <w:kern w:val="0"/>
                <w:sz w:val="24"/>
                <w:szCs w:val="24"/>
              </w:rPr>
              <w:t xml:space="preserve"> 35</w:t>
            </w:r>
          </w:p>
        </w:tc>
        <w:tc>
          <w:tcPr>
            <w:tcW w:w="2542" w:type="dxa"/>
            <w:tcBorders>
              <w:top w:val="single" w:sz="4" w:space="0" w:color="auto"/>
              <w:left w:val="single" w:sz="4" w:space="0" w:color="auto"/>
              <w:bottom w:val="single" w:sz="4" w:space="0" w:color="auto"/>
              <w:right w:val="single" w:sz="4" w:space="0" w:color="auto"/>
            </w:tcBorders>
            <w:vAlign w:val="center"/>
          </w:tcPr>
          <w:p w14:paraId="69583CAD" w14:textId="77777777" w:rsidR="00790651" w:rsidRDefault="00790651" w:rsidP="00A55159">
            <w:pPr>
              <w:autoSpaceDE w:val="0"/>
              <w:autoSpaceDN w:val="0"/>
              <w:adjustRightInd w:val="0"/>
              <w:snapToGrid w:val="0"/>
              <w:spacing w:before="1" w:line="320" w:lineRule="exact"/>
              <w:jc w:val="center"/>
              <w:rPr>
                <w:rFonts w:ascii="仿宋_GB2312" w:eastAsia="仿宋_GB2312" w:cs="仿宋_GB2312"/>
                <w:kern w:val="0"/>
                <w:sz w:val="24"/>
                <w:szCs w:val="24"/>
              </w:rPr>
            </w:pPr>
            <w:r>
              <w:rPr>
                <w:rFonts w:ascii="仿宋_GB2312" w:eastAsia="仿宋_GB2312" w:cs="仿宋_GB2312"/>
                <w:kern w:val="0"/>
                <w:sz w:val="24"/>
                <w:szCs w:val="24"/>
              </w:rPr>
              <w:t>32</w:t>
            </w:r>
            <w:r>
              <w:rPr>
                <w:rFonts w:ascii="仿宋_GB2312" w:eastAsia="仿宋_GB2312" w:cs="仿宋_GB2312" w:hint="eastAsia"/>
                <w:kern w:val="0"/>
                <w:sz w:val="24"/>
                <w:szCs w:val="24"/>
              </w:rPr>
              <w:t>.00</w:t>
            </w:r>
          </w:p>
        </w:tc>
      </w:tr>
      <w:tr w:rsidR="00790651" w14:paraId="06C96AFB" w14:textId="77777777" w:rsidTr="0004388E">
        <w:trPr>
          <w:trHeight w:val="410"/>
          <w:jc w:val="center"/>
        </w:trPr>
        <w:tc>
          <w:tcPr>
            <w:tcW w:w="3056" w:type="dxa"/>
            <w:tcBorders>
              <w:top w:val="single" w:sz="4" w:space="0" w:color="auto"/>
              <w:left w:val="single" w:sz="4" w:space="0" w:color="auto"/>
              <w:bottom w:val="single" w:sz="4" w:space="0" w:color="auto"/>
              <w:right w:val="single" w:sz="4" w:space="0" w:color="auto"/>
            </w:tcBorders>
            <w:vAlign w:val="center"/>
          </w:tcPr>
          <w:p w14:paraId="59706D62"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满意度指标</w:t>
            </w:r>
          </w:p>
        </w:tc>
        <w:tc>
          <w:tcPr>
            <w:tcW w:w="2542" w:type="dxa"/>
            <w:tcBorders>
              <w:top w:val="single" w:sz="4" w:space="0" w:color="auto"/>
              <w:left w:val="single" w:sz="4" w:space="0" w:color="auto"/>
              <w:bottom w:val="single" w:sz="4" w:space="0" w:color="auto"/>
              <w:right w:val="single" w:sz="4" w:space="0" w:color="auto"/>
            </w:tcBorders>
            <w:vAlign w:val="center"/>
          </w:tcPr>
          <w:p w14:paraId="49212909" w14:textId="77777777" w:rsidR="00790651" w:rsidRDefault="00790651" w:rsidP="00A55159">
            <w:pPr>
              <w:autoSpaceDE w:val="0"/>
              <w:autoSpaceDN w:val="0"/>
              <w:adjustRightInd w:val="0"/>
              <w:snapToGrid w:val="0"/>
              <w:spacing w:before="51" w:line="320" w:lineRule="exact"/>
              <w:ind w:right="397"/>
              <w:jc w:val="center"/>
              <w:rPr>
                <w:rFonts w:ascii="仿宋_GB2312" w:eastAsia="仿宋_GB2312" w:cs="仿宋_GB2312"/>
                <w:kern w:val="0"/>
                <w:sz w:val="24"/>
                <w:szCs w:val="24"/>
              </w:rPr>
            </w:pPr>
            <w:r>
              <w:rPr>
                <w:rFonts w:ascii="仿宋_GB2312" w:eastAsia="仿宋_GB2312" w:cs="仿宋_GB2312" w:hint="eastAsia"/>
                <w:kern w:val="0"/>
                <w:sz w:val="24"/>
                <w:szCs w:val="24"/>
              </w:rPr>
              <w:t xml:space="preserve">  10</w:t>
            </w:r>
          </w:p>
        </w:tc>
        <w:tc>
          <w:tcPr>
            <w:tcW w:w="2542" w:type="dxa"/>
            <w:tcBorders>
              <w:top w:val="single" w:sz="4" w:space="0" w:color="auto"/>
              <w:left w:val="single" w:sz="4" w:space="0" w:color="auto"/>
              <w:bottom w:val="single" w:sz="4" w:space="0" w:color="auto"/>
              <w:right w:val="single" w:sz="4" w:space="0" w:color="auto"/>
            </w:tcBorders>
            <w:vAlign w:val="center"/>
          </w:tcPr>
          <w:p w14:paraId="18300F58" w14:textId="77777777" w:rsidR="00790651" w:rsidRDefault="00790651" w:rsidP="00A55159">
            <w:pPr>
              <w:autoSpaceDE w:val="0"/>
              <w:autoSpaceDN w:val="0"/>
              <w:adjustRightInd w:val="0"/>
              <w:snapToGrid w:val="0"/>
              <w:spacing w:before="1" w:line="320" w:lineRule="exact"/>
              <w:jc w:val="center"/>
              <w:rPr>
                <w:rFonts w:ascii="仿宋_GB2312" w:eastAsia="仿宋_GB2312" w:cs="仿宋_GB2312"/>
                <w:kern w:val="0"/>
                <w:sz w:val="24"/>
                <w:szCs w:val="24"/>
              </w:rPr>
            </w:pPr>
            <w:r>
              <w:rPr>
                <w:rFonts w:ascii="仿宋_GB2312" w:eastAsia="仿宋_GB2312" w:cs="仿宋_GB2312"/>
                <w:kern w:val="0"/>
                <w:sz w:val="24"/>
                <w:szCs w:val="24"/>
              </w:rPr>
              <w:t>9.13</w:t>
            </w:r>
          </w:p>
        </w:tc>
      </w:tr>
      <w:tr w:rsidR="00790651" w14:paraId="7BE522BE" w14:textId="77777777" w:rsidTr="0004388E">
        <w:trPr>
          <w:trHeight w:val="429"/>
          <w:jc w:val="center"/>
        </w:trPr>
        <w:tc>
          <w:tcPr>
            <w:tcW w:w="3056" w:type="dxa"/>
            <w:tcBorders>
              <w:top w:val="single" w:sz="4" w:space="0" w:color="auto"/>
              <w:left w:val="single" w:sz="4" w:space="0" w:color="auto"/>
              <w:bottom w:val="single" w:sz="4" w:space="0" w:color="auto"/>
              <w:right w:val="single" w:sz="4" w:space="0" w:color="auto"/>
            </w:tcBorders>
            <w:vAlign w:val="center"/>
          </w:tcPr>
          <w:p w14:paraId="7819C1A6" w14:textId="77777777" w:rsidR="00790651" w:rsidRDefault="00790651" w:rsidP="00A55159">
            <w:pPr>
              <w:autoSpaceDE w:val="0"/>
              <w:autoSpaceDN w:val="0"/>
              <w:adjustRightInd w:val="0"/>
              <w:snapToGrid w:val="0"/>
              <w:spacing w:before="8" w:line="320" w:lineRule="exact"/>
              <w:ind w:right="397"/>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评价总得分</w:t>
            </w:r>
          </w:p>
        </w:tc>
        <w:tc>
          <w:tcPr>
            <w:tcW w:w="2542" w:type="dxa"/>
            <w:tcBorders>
              <w:top w:val="single" w:sz="4" w:space="0" w:color="auto"/>
              <w:left w:val="single" w:sz="4" w:space="0" w:color="auto"/>
              <w:bottom w:val="single" w:sz="4" w:space="0" w:color="auto"/>
              <w:right w:val="single" w:sz="4" w:space="0" w:color="auto"/>
            </w:tcBorders>
            <w:vAlign w:val="center"/>
          </w:tcPr>
          <w:p w14:paraId="0F26EC6D" w14:textId="77777777" w:rsidR="00790651" w:rsidRDefault="00790651" w:rsidP="00A55159">
            <w:pPr>
              <w:autoSpaceDE w:val="0"/>
              <w:autoSpaceDN w:val="0"/>
              <w:adjustRightInd w:val="0"/>
              <w:snapToGrid w:val="0"/>
              <w:spacing w:before="8" w:line="320" w:lineRule="exact"/>
              <w:ind w:right="397"/>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 xml:space="preserve">  100</w:t>
            </w:r>
          </w:p>
        </w:tc>
        <w:tc>
          <w:tcPr>
            <w:tcW w:w="2542" w:type="dxa"/>
            <w:tcBorders>
              <w:top w:val="single" w:sz="4" w:space="0" w:color="auto"/>
              <w:left w:val="single" w:sz="4" w:space="0" w:color="auto"/>
              <w:bottom w:val="single" w:sz="4" w:space="0" w:color="auto"/>
              <w:right w:val="single" w:sz="4" w:space="0" w:color="auto"/>
            </w:tcBorders>
            <w:vAlign w:val="center"/>
          </w:tcPr>
          <w:p w14:paraId="6348D375" w14:textId="77777777" w:rsidR="00790651" w:rsidRDefault="00790651" w:rsidP="00A55159">
            <w:pPr>
              <w:autoSpaceDE w:val="0"/>
              <w:autoSpaceDN w:val="0"/>
              <w:adjustRightInd w:val="0"/>
              <w:snapToGrid w:val="0"/>
              <w:spacing w:before="1" w:line="320" w:lineRule="exact"/>
              <w:jc w:val="center"/>
              <w:rPr>
                <w:rFonts w:ascii="仿宋_GB2312" w:eastAsia="仿宋_GB2312" w:cs="仿宋_GB2312"/>
                <w:b/>
                <w:bCs/>
                <w:kern w:val="0"/>
                <w:sz w:val="24"/>
                <w:szCs w:val="24"/>
              </w:rPr>
            </w:pPr>
            <w:r>
              <w:rPr>
                <w:rFonts w:ascii="仿宋_GB2312" w:eastAsia="仿宋_GB2312" w:cs="仿宋_GB2312"/>
                <w:b/>
                <w:bCs/>
                <w:kern w:val="0"/>
                <w:sz w:val="24"/>
                <w:szCs w:val="24"/>
              </w:rPr>
              <w:fldChar w:fldCharType="begin"/>
            </w:r>
            <w:r>
              <w:rPr>
                <w:rFonts w:ascii="仿宋_GB2312" w:eastAsia="仿宋_GB2312" w:cs="仿宋_GB2312"/>
                <w:b/>
                <w:bCs/>
                <w:kern w:val="0"/>
                <w:sz w:val="24"/>
                <w:szCs w:val="24"/>
              </w:rPr>
              <w:instrText xml:space="preserve"> =SUM(ABOVE) </w:instrText>
            </w:r>
            <w:r>
              <w:rPr>
                <w:rFonts w:ascii="仿宋_GB2312" w:eastAsia="仿宋_GB2312" w:cs="仿宋_GB2312"/>
                <w:b/>
                <w:bCs/>
                <w:kern w:val="0"/>
                <w:sz w:val="24"/>
                <w:szCs w:val="24"/>
              </w:rPr>
              <w:fldChar w:fldCharType="separate"/>
            </w:r>
            <w:r>
              <w:rPr>
                <w:rFonts w:ascii="仿宋_GB2312" w:eastAsia="仿宋_GB2312" w:cs="仿宋_GB2312"/>
                <w:b/>
                <w:bCs/>
                <w:kern w:val="0"/>
                <w:sz w:val="24"/>
                <w:szCs w:val="24"/>
              </w:rPr>
              <w:t>88.89</w:t>
            </w:r>
            <w:r>
              <w:rPr>
                <w:rFonts w:ascii="仿宋_GB2312" w:eastAsia="仿宋_GB2312" w:cs="仿宋_GB2312"/>
                <w:b/>
                <w:bCs/>
                <w:kern w:val="0"/>
                <w:sz w:val="24"/>
                <w:szCs w:val="24"/>
              </w:rPr>
              <w:fldChar w:fldCharType="end"/>
            </w:r>
          </w:p>
        </w:tc>
      </w:tr>
    </w:tbl>
    <w:p w14:paraId="2072BACD"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b/>
          <w:bCs/>
          <w:sz w:val="32"/>
          <w:szCs w:val="32"/>
        </w:rPr>
        <w:lastRenderedPageBreak/>
        <w:t>四</w:t>
      </w:r>
      <w:r w:rsidRPr="00790651">
        <w:rPr>
          <w:rFonts w:ascii="仿宋_GB2312" w:eastAsia="仿宋_GB2312" w:hint="eastAsia"/>
          <w:b/>
          <w:bCs/>
          <w:sz w:val="32"/>
          <w:szCs w:val="32"/>
        </w:rPr>
        <w:t>、</w:t>
      </w:r>
      <w:r w:rsidRPr="00790651">
        <w:rPr>
          <w:rFonts w:ascii="仿宋_GB2312" w:eastAsia="仿宋_GB2312"/>
          <w:b/>
          <w:bCs/>
          <w:sz w:val="32"/>
          <w:szCs w:val="32"/>
        </w:rPr>
        <w:t>绩效分析</w:t>
      </w:r>
    </w:p>
    <w:p w14:paraId="6C7513FA"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hint="eastAsia"/>
          <w:b/>
          <w:bCs/>
          <w:sz w:val="32"/>
          <w:szCs w:val="32"/>
        </w:rPr>
        <w:t>（一）部门投入管理指标</w:t>
      </w:r>
    </w:p>
    <w:p w14:paraId="628C3EED"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部门投入管理指标由</w:t>
      </w:r>
      <w:r w:rsidRPr="00790651">
        <w:rPr>
          <w:rFonts w:ascii="仿宋_GB2312" w:eastAsia="仿宋_GB2312" w:hint="eastAsia"/>
          <w:bCs/>
          <w:color w:val="000000"/>
          <w:sz w:val="32"/>
          <w:szCs w:val="32"/>
        </w:rPr>
        <w:t>人员管理</w:t>
      </w:r>
      <w:r w:rsidRPr="00790651">
        <w:rPr>
          <w:rFonts w:ascii="仿宋_GB2312" w:eastAsia="仿宋_GB2312" w:hint="eastAsia"/>
          <w:bCs/>
          <w:sz w:val="32"/>
          <w:szCs w:val="32"/>
        </w:rPr>
        <w:t>、预算管理、绩效管理、财务管理、资产管理、组织管理等6个方面组成，指标设定30分，评价得分2</w:t>
      </w:r>
      <w:r w:rsidRPr="00790651">
        <w:rPr>
          <w:rFonts w:ascii="仿宋_GB2312" w:eastAsia="仿宋_GB2312"/>
          <w:bCs/>
          <w:sz w:val="32"/>
          <w:szCs w:val="32"/>
        </w:rPr>
        <w:t>6.99</w:t>
      </w:r>
      <w:r w:rsidRPr="00790651">
        <w:rPr>
          <w:rFonts w:ascii="仿宋_GB2312" w:eastAsia="仿宋_GB2312" w:hint="eastAsia"/>
          <w:bCs/>
          <w:sz w:val="32"/>
          <w:szCs w:val="32"/>
        </w:rPr>
        <w:t>分。</w:t>
      </w:r>
    </w:p>
    <w:p w14:paraId="3956F386" w14:textId="77777777" w:rsidR="00790651" w:rsidRPr="00790651" w:rsidRDefault="00790651" w:rsidP="00A55159">
      <w:pPr>
        <w:adjustRightInd w:val="0"/>
        <w:snapToGrid w:val="0"/>
        <w:spacing w:line="500" w:lineRule="exact"/>
        <w:ind w:firstLineChars="200" w:firstLine="640"/>
        <w:rPr>
          <w:rFonts w:ascii="仿宋_GB2312" w:eastAsia="仿宋_GB2312"/>
          <w:bCs/>
          <w:color w:val="FF0000"/>
          <w:sz w:val="32"/>
          <w:szCs w:val="32"/>
        </w:rPr>
      </w:pPr>
      <w:r w:rsidRPr="00790651">
        <w:rPr>
          <w:rFonts w:ascii="仿宋_GB2312" w:eastAsia="仿宋_GB2312" w:hint="eastAsia"/>
          <w:bCs/>
          <w:sz w:val="32"/>
          <w:szCs w:val="32"/>
        </w:rPr>
        <w:t>部门投入管理在上述6个方面执行的均较好，但是存在不足的地方，如：截至2022年底，市国资委人员编制数31人，其中行政编31人。年末实有在职人员38人，按三定方案规定核实显示人员配备超编，主要为历次机构改革的结果；因上级部门或本级党委政府临时交办而产生的调整因素外，各预算项目的预算金额调整较大。</w:t>
      </w:r>
    </w:p>
    <w:p w14:paraId="57C924F5"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hint="eastAsia"/>
          <w:b/>
          <w:bCs/>
          <w:sz w:val="32"/>
          <w:szCs w:val="32"/>
        </w:rPr>
        <w:t>（二）部门产出指标</w:t>
      </w:r>
    </w:p>
    <w:p w14:paraId="5A9BBD91"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部门产出指标由数量指标、质量指标、时效指标、成本指标等4个方面组成，指标设定</w:t>
      </w:r>
      <w:r w:rsidRPr="00790651">
        <w:rPr>
          <w:rFonts w:ascii="仿宋_GB2312" w:eastAsia="仿宋_GB2312"/>
          <w:bCs/>
          <w:sz w:val="32"/>
          <w:szCs w:val="32"/>
        </w:rPr>
        <w:t>25</w:t>
      </w:r>
      <w:r w:rsidRPr="00790651">
        <w:rPr>
          <w:rFonts w:ascii="仿宋_GB2312" w:eastAsia="仿宋_GB2312" w:hint="eastAsia"/>
          <w:bCs/>
          <w:sz w:val="32"/>
          <w:szCs w:val="32"/>
        </w:rPr>
        <w:t>分，评价得分</w:t>
      </w:r>
      <w:r w:rsidRPr="00790651">
        <w:rPr>
          <w:rFonts w:ascii="仿宋_GB2312" w:eastAsia="仿宋_GB2312"/>
          <w:bCs/>
          <w:sz w:val="32"/>
          <w:szCs w:val="32"/>
        </w:rPr>
        <w:t>20.77</w:t>
      </w:r>
      <w:r w:rsidRPr="00790651">
        <w:rPr>
          <w:rFonts w:ascii="仿宋_GB2312" w:eastAsia="仿宋_GB2312" w:hint="eastAsia"/>
          <w:bCs/>
          <w:sz w:val="32"/>
          <w:szCs w:val="32"/>
        </w:rPr>
        <w:t>分。</w:t>
      </w:r>
    </w:p>
    <w:p w14:paraId="23C45977" w14:textId="77777777" w:rsidR="00790651" w:rsidRPr="00790651" w:rsidRDefault="00790651" w:rsidP="00A55159">
      <w:pPr>
        <w:pStyle w:val="2"/>
        <w:spacing w:line="500" w:lineRule="exact"/>
        <w:ind w:leftChars="0" w:left="0" w:firstLine="640"/>
        <w:rPr>
          <w:rFonts w:ascii="仿宋_GB2312" w:eastAsia="仿宋_GB2312"/>
          <w:bCs/>
          <w:sz w:val="32"/>
          <w:szCs w:val="32"/>
        </w:rPr>
      </w:pPr>
      <w:r w:rsidRPr="00790651">
        <w:rPr>
          <w:rFonts w:ascii="仿宋_GB2312" w:eastAsia="仿宋_GB2312" w:hint="eastAsia"/>
          <w:bCs/>
          <w:sz w:val="32"/>
          <w:szCs w:val="32"/>
        </w:rPr>
        <w:t>部门产出指标分别从各类人员补贴、重点项目、企业运营补贴等方面进行考核，在数量、质量、时效和成本方面完成的较好，但是仍存在未完成的重大项目，如：新增</w:t>
      </w:r>
      <w:proofErr w:type="gramStart"/>
      <w:r w:rsidRPr="00790651">
        <w:rPr>
          <w:rFonts w:ascii="仿宋_GB2312" w:eastAsia="仿宋_GB2312" w:hint="eastAsia"/>
          <w:bCs/>
          <w:sz w:val="32"/>
          <w:szCs w:val="32"/>
        </w:rPr>
        <w:t>债用于</w:t>
      </w:r>
      <w:proofErr w:type="gramEnd"/>
      <w:r w:rsidRPr="00790651">
        <w:rPr>
          <w:rFonts w:ascii="仿宋_GB2312" w:eastAsia="仿宋_GB2312" w:hint="eastAsia"/>
          <w:bCs/>
          <w:sz w:val="32"/>
          <w:szCs w:val="32"/>
        </w:rPr>
        <w:t>粮油食品加工产业</w:t>
      </w:r>
      <w:proofErr w:type="gramStart"/>
      <w:r w:rsidRPr="00790651">
        <w:rPr>
          <w:rFonts w:ascii="仿宋_GB2312" w:eastAsia="仿宋_GB2312" w:hint="eastAsia"/>
          <w:bCs/>
          <w:sz w:val="32"/>
          <w:szCs w:val="32"/>
        </w:rPr>
        <w:t>园基础</w:t>
      </w:r>
      <w:proofErr w:type="gramEnd"/>
      <w:r w:rsidRPr="00790651">
        <w:rPr>
          <w:rFonts w:ascii="仿宋_GB2312" w:eastAsia="仿宋_GB2312" w:hint="eastAsia"/>
          <w:bCs/>
          <w:sz w:val="32"/>
          <w:szCs w:val="32"/>
        </w:rPr>
        <w:t>设施配套建设完成给水管道(DN500)1251米，污水管道（PE500）2484米，土地平整1500亩，</w:t>
      </w:r>
      <w:proofErr w:type="gramStart"/>
      <w:r w:rsidRPr="00790651">
        <w:rPr>
          <w:rFonts w:ascii="仿宋_GB2312" w:eastAsia="仿宋_GB2312" w:hint="eastAsia"/>
          <w:bCs/>
          <w:sz w:val="32"/>
          <w:szCs w:val="32"/>
        </w:rPr>
        <w:t>因益海嘉</w:t>
      </w:r>
      <w:proofErr w:type="gramEnd"/>
      <w:r w:rsidRPr="00790651">
        <w:rPr>
          <w:rFonts w:ascii="仿宋_GB2312" w:eastAsia="仿宋_GB2312" w:hint="eastAsia"/>
          <w:bCs/>
          <w:sz w:val="32"/>
          <w:szCs w:val="32"/>
        </w:rPr>
        <w:t>里（秦皇岛）粮油工业公司工程进度慢，</w:t>
      </w:r>
      <w:proofErr w:type="gramStart"/>
      <w:r w:rsidRPr="00790651">
        <w:rPr>
          <w:rFonts w:ascii="仿宋_GB2312" w:eastAsia="仿宋_GB2312" w:hint="eastAsia"/>
          <w:bCs/>
          <w:sz w:val="32"/>
          <w:szCs w:val="32"/>
        </w:rPr>
        <w:t>建投公司</w:t>
      </w:r>
      <w:proofErr w:type="gramEnd"/>
      <w:r w:rsidRPr="00790651">
        <w:rPr>
          <w:rFonts w:ascii="仿宋_GB2312" w:eastAsia="仿宋_GB2312" w:hint="eastAsia"/>
          <w:bCs/>
          <w:sz w:val="32"/>
          <w:szCs w:val="32"/>
        </w:rPr>
        <w:t>的电缆尚未完成铺设，从目前的工程施工状况看，预计完工时间为2024年底；2022年未完成对秦皇岛渤威建设投资有限公司运营补贴拨付；2022初一次性拨付液化气公司2</w:t>
      </w:r>
      <w:r w:rsidRPr="00790651">
        <w:rPr>
          <w:rFonts w:ascii="仿宋_GB2312" w:eastAsia="仿宋_GB2312"/>
          <w:bCs/>
          <w:sz w:val="32"/>
          <w:szCs w:val="32"/>
        </w:rPr>
        <w:t>022</w:t>
      </w:r>
      <w:r w:rsidRPr="00790651">
        <w:rPr>
          <w:rFonts w:ascii="仿宋_GB2312" w:eastAsia="仿宋_GB2312" w:hint="eastAsia"/>
          <w:bCs/>
          <w:sz w:val="32"/>
          <w:szCs w:val="32"/>
        </w:rPr>
        <w:t>年财政补贴资金1</w:t>
      </w:r>
      <w:r w:rsidRPr="00790651">
        <w:rPr>
          <w:rFonts w:ascii="仿宋_GB2312" w:eastAsia="仿宋_GB2312"/>
          <w:bCs/>
          <w:sz w:val="32"/>
          <w:szCs w:val="32"/>
        </w:rPr>
        <w:t>50</w:t>
      </w:r>
      <w:r w:rsidRPr="00790651">
        <w:rPr>
          <w:rFonts w:ascii="仿宋_GB2312" w:eastAsia="仿宋_GB2312" w:hint="eastAsia"/>
          <w:bCs/>
          <w:sz w:val="32"/>
          <w:szCs w:val="32"/>
        </w:rPr>
        <w:t>万元，但是液化气公司于2022年8月停止液化气相关业务。</w:t>
      </w:r>
    </w:p>
    <w:p w14:paraId="3EA8F263"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hint="eastAsia"/>
          <w:b/>
          <w:bCs/>
          <w:sz w:val="32"/>
          <w:szCs w:val="32"/>
        </w:rPr>
        <w:t>（三）部门效果指标</w:t>
      </w:r>
    </w:p>
    <w:p w14:paraId="726796BB"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部门效果指标由经济效益、社会效益、可持续影响等3</w:t>
      </w:r>
      <w:r w:rsidRPr="00790651">
        <w:rPr>
          <w:rFonts w:ascii="仿宋_GB2312" w:eastAsia="仿宋_GB2312" w:hint="eastAsia"/>
          <w:bCs/>
          <w:sz w:val="32"/>
          <w:szCs w:val="32"/>
        </w:rPr>
        <w:lastRenderedPageBreak/>
        <w:t>个方面组成，指标设定35分，评价得分</w:t>
      </w:r>
      <w:r w:rsidRPr="00790651">
        <w:rPr>
          <w:rFonts w:ascii="仿宋_GB2312" w:eastAsia="仿宋_GB2312"/>
          <w:bCs/>
          <w:sz w:val="32"/>
          <w:szCs w:val="32"/>
        </w:rPr>
        <w:t>32</w:t>
      </w:r>
      <w:r w:rsidRPr="00790651">
        <w:rPr>
          <w:rFonts w:ascii="仿宋_GB2312" w:eastAsia="仿宋_GB2312" w:hint="eastAsia"/>
          <w:bCs/>
          <w:sz w:val="32"/>
          <w:szCs w:val="32"/>
        </w:rPr>
        <w:t>分。</w:t>
      </w:r>
    </w:p>
    <w:p w14:paraId="0B0E6AD0"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部门效果在经济效益、社会效益、可持续影响等方面完成的较好，但是在新增</w:t>
      </w:r>
      <w:proofErr w:type="gramStart"/>
      <w:r w:rsidRPr="00790651">
        <w:rPr>
          <w:rFonts w:ascii="仿宋_GB2312" w:eastAsia="仿宋_GB2312" w:hint="eastAsia"/>
          <w:bCs/>
          <w:sz w:val="32"/>
          <w:szCs w:val="32"/>
        </w:rPr>
        <w:t>债用于</w:t>
      </w:r>
      <w:proofErr w:type="gramEnd"/>
      <w:r w:rsidRPr="00790651">
        <w:rPr>
          <w:rFonts w:ascii="仿宋_GB2312" w:eastAsia="仿宋_GB2312" w:hint="eastAsia"/>
          <w:bCs/>
          <w:sz w:val="32"/>
          <w:szCs w:val="32"/>
        </w:rPr>
        <w:t>粮油食品加工产业</w:t>
      </w:r>
      <w:proofErr w:type="gramStart"/>
      <w:r w:rsidRPr="00790651">
        <w:rPr>
          <w:rFonts w:ascii="仿宋_GB2312" w:eastAsia="仿宋_GB2312" w:hint="eastAsia"/>
          <w:bCs/>
          <w:sz w:val="32"/>
          <w:szCs w:val="32"/>
        </w:rPr>
        <w:t>园基础</w:t>
      </w:r>
      <w:proofErr w:type="gramEnd"/>
      <w:r w:rsidRPr="00790651">
        <w:rPr>
          <w:rFonts w:ascii="仿宋_GB2312" w:eastAsia="仿宋_GB2312" w:hint="eastAsia"/>
          <w:bCs/>
          <w:sz w:val="32"/>
          <w:szCs w:val="32"/>
        </w:rPr>
        <w:t>设施配套建设项目的延迟完工对预期的经济效益存在一定的影响。</w:t>
      </w:r>
    </w:p>
    <w:p w14:paraId="4324702D"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hint="eastAsia"/>
          <w:b/>
          <w:bCs/>
          <w:sz w:val="32"/>
          <w:szCs w:val="32"/>
        </w:rPr>
        <w:t>（四）满意度分析</w:t>
      </w:r>
    </w:p>
    <w:p w14:paraId="67F0342E"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满意</w:t>
      </w:r>
      <w:proofErr w:type="gramStart"/>
      <w:r w:rsidRPr="00790651">
        <w:rPr>
          <w:rFonts w:ascii="仿宋_GB2312" w:eastAsia="仿宋_GB2312" w:hint="eastAsia"/>
          <w:bCs/>
          <w:sz w:val="32"/>
          <w:szCs w:val="32"/>
        </w:rPr>
        <w:t>度分析</w:t>
      </w:r>
      <w:proofErr w:type="gramEnd"/>
      <w:r w:rsidRPr="00790651">
        <w:rPr>
          <w:rFonts w:ascii="仿宋_GB2312" w:eastAsia="仿宋_GB2312" w:hint="eastAsia"/>
          <w:bCs/>
          <w:sz w:val="32"/>
          <w:szCs w:val="32"/>
        </w:rPr>
        <w:t>由服务对象满意度和监管企业满意度等2个方面组成，指标设定</w:t>
      </w:r>
      <w:r w:rsidRPr="00790651">
        <w:rPr>
          <w:rFonts w:ascii="仿宋_GB2312" w:eastAsia="仿宋_GB2312"/>
          <w:bCs/>
          <w:sz w:val="32"/>
          <w:szCs w:val="32"/>
        </w:rPr>
        <w:t>10</w:t>
      </w:r>
      <w:r w:rsidRPr="00790651">
        <w:rPr>
          <w:rFonts w:ascii="仿宋_GB2312" w:eastAsia="仿宋_GB2312" w:hint="eastAsia"/>
          <w:bCs/>
          <w:sz w:val="32"/>
          <w:szCs w:val="32"/>
        </w:rPr>
        <w:t>分，评价得分</w:t>
      </w:r>
      <w:r w:rsidRPr="00790651">
        <w:rPr>
          <w:rFonts w:ascii="仿宋_GB2312" w:eastAsia="仿宋_GB2312"/>
          <w:bCs/>
          <w:sz w:val="32"/>
          <w:szCs w:val="32"/>
        </w:rPr>
        <w:t>9.13</w:t>
      </w:r>
      <w:r w:rsidRPr="00790651">
        <w:rPr>
          <w:rFonts w:ascii="仿宋_GB2312" w:eastAsia="仿宋_GB2312" w:hint="eastAsia"/>
          <w:bCs/>
          <w:sz w:val="32"/>
          <w:szCs w:val="32"/>
        </w:rPr>
        <w:t>分。</w:t>
      </w:r>
    </w:p>
    <w:p w14:paraId="050EADA5"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服务对象指各类人员补贴发放涉及的当事人，共收到服务对象满意度调查问卷14份，结合抽查的人员费用补贴发放时间及发放金额及办事流程，满意</w:t>
      </w:r>
      <w:proofErr w:type="gramStart"/>
      <w:r w:rsidRPr="00790651">
        <w:rPr>
          <w:rFonts w:ascii="仿宋_GB2312" w:eastAsia="仿宋_GB2312" w:hint="eastAsia"/>
          <w:bCs/>
          <w:sz w:val="32"/>
          <w:szCs w:val="32"/>
        </w:rPr>
        <w:t>度综合</w:t>
      </w:r>
      <w:proofErr w:type="gramEnd"/>
      <w:r w:rsidRPr="00790651">
        <w:rPr>
          <w:rFonts w:ascii="仿宋_GB2312" w:eastAsia="仿宋_GB2312" w:hint="eastAsia"/>
          <w:bCs/>
          <w:sz w:val="32"/>
          <w:szCs w:val="32"/>
        </w:rPr>
        <w:t>评分92.60%。</w:t>
      </w:r>
    </w:p>
    <w:p w14:paraId="1F2839C2" w14:textId="77777777" w:rsidR="00790651" w:rsidRPr="00790651" w:rsidRDefault="00790651" w:rsidP="00A55159">
      <w:pPr>
        <w:adjustRightInd w:val="0"/>
        <w:snapToGrid w:val="0"/>
        <w:spacing w:line="500" w:lineRule="exact"/>
        <w:ind w:firstLineChars="200" w:firstLine="640"/>
        <w:rPr>
          <w:rFonts w:ascii="仿宋_GB2312" w:eastAsia="仿宋_GB2312"/>
          <w:bCs/>
          <w:sz w:val="32"/>
          <w:szCs w:val="32"/>
        </w:rPr>
      </w:pPr>
      <w:r w:rsidRPr="00790651">
        <w:rPr>
          <w:rFonts w:ascii="仿宋_GB2312" w:eastAsia="仿宋_GB2312" w:hint="eastAsia"/>
          <w:bCs/>
          <w:sz w:val="32"/>
          <w:szCs w:val="32"/>
        </w:rPr>
        <w:t>针对市国资委监管企业的满意度调查，截至报告日，共收取98</w:t>
      </w:r>
      <w:r w:rsidRPr="00790651">
        <w:rPr>
          <w:rFonts w:ascii="仿宋_GB2312" w:eastAsia="仿宋_GB2312"/>
          <w:bCs/>
          <w:sz w:val="32"/>
          <w:szCs w:val="32"/>
        </w:rPr>
        <w:t>份</w:t>
      </w:r>
      <w:r w:rsidRPr="00790651">
        <w:rPr>
          <w:rFonts w:ascii="仿宋_GB2312" w:eastAsia="仿宋_GB2312" w:hint="eastAsia"/>
          <w:bCs/>
          <w:sz w:val="32"/>
          <w:szCs w:val="32"/>
        </w:rPr>
        <w:t>调查问卷，从收取的调查问卷看，满意</w:t>
      </w:r>
      <w:proofErr w:type="gramStart"/>
      <w:r w:rsidRPr="00790651">
        <w:rPr>
          <w:rFonts w:ascii="仿宋_GB2312" w:eastAsia="仿宋_GB2312" w:hint="eastAsia"/>
          <w:bCs/>
          <w:sz w:val="32"/>
          <w:szCs w:val="32"/>
        </w:rPr>
        <w:t>度综合</w:t>
      </w:r>
      <w:proofErr w:type="gramEnd"/>
      <w:r w:rsidRPr="00790651">
        <w:rPr>
          <w:rFonts w:ascii="仿宋_GB2312" w:eastAsia="仿宋_GB2312" w:hint="eastAsia"/>
          <w:bCs/>
          <w:sz w:val="32"/>
          <w:szCs w:val="32"/>
        </w:rPr>
        <w:t>评分90%左右。</w:t>
      </w:r>
    </w:p>
    <w:p w14:paraId="653C7E66" w14:textId="77777777" w:rsidR="00790651" w:rsidRPr="00790651" w:rsidRDefault="00790651" w:rsidP="00A55159">
      <w:pPr>
        <w:adjustRightInd w:val="0"/>
        <w:snapToGrid w:val="0"/>
        <w:spacing w:line="500" w:lineRule="exact"/>
        <w:ind w:firstLineChars="200" w:firstLine="643"/>
        <w:rPr>
          <w:rFonts w:ascii="仿宋_GB2312" w:eastAsia="仿宋_GB2312"/>
          <w:b/>
          <w:bCs/>
          <w:sz w:val="32"/>
          <w:szCs w:val="32"/>
        </w:rPr>
      </w:pPr>
      <w:r w:rsidRPr="00790651">
        <w:rPr>
          <w:rFonts w:ascii="仿宋_GB2312" w:eastAsia="仿宋_GB2312" w:hint="eastAsia"/>
          <w:b/>
          <w:bCs/>
          <w:sz w:val="32"/>
          <w:szCs w:val="32"/>
        </w:rPr>
        <w:t>五、问题与建议</w:t>
      </w:r>
    </w:p>
    <w:p w14:paraId="5CC9EE5D"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（一）年初预算编制尚不够精准，预算调整较大</w:t>
      </w:r>
    </w:p>
    <w:p w14:paraId="49CA416C"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jc w:val="both"/>
        <w:rPr>
          <w:rFonts w:ascii="仿宋_GB2312" w:eastAsia="仿宋_GB2312" w:cs="仿宋"/>
          <w:sz w:val="32"/>
          <w:szCs w:val="32"/>
        </w:rPr>
      </w:pPr>
      <w:r w:rsidRPr="00790651">
        <w:rPr>
          <w:rFonts w:ascii="仿宋_GB2312" w:eastAsia="仿宋_GB2312" w:cs="仿宋" w:hint="eastAsia"/>
          <w:sz w:val="32"/>
          <w:szCs w:val="32"/>
        </w:rPr>
        <w:t>2022年市国资</w:t>
      </w:r>
      <w:proofErr w:type="gramStart"/>
      <w:r w:rsidRPr="00790651">
        <w:rPr>
          <w:rFonts w:ascii="仿宋_GB2312" w:eastAsia="仿宋_GB2312" w:cs="仿宋" w:hint="eastAsia"/>
          <w:sz w:val="32"/>
          <w:szCs w:val="32"/>
        </w:rPr>
        <w:t>委预算</w:t>
      </w:r>
      <w:proofErr w:type="gramEnd"/>
      <w:r w:rsidRPr="00790651">
        <w:rPr>
          <w:rFonts w:ascii="仿宋_GB2312" w:eastAsia="仿宋_GB2312" w:cs="仿宋" w:hint="eastAsia"/>
          <w:sz w:val="32"/>
          <w:szCs w:val="32"/>
        </w:rPr>
        <w:t>金额和决算金额存在较大偏差，除上级部门或本级党委政府临时交办而产生的调整因素外，存在财政安排资金困难将部分项目整合打包安排资金的情况，导致部分预算项目决算金额</w:t>
      </w:r>
      <w:proofErr w:type="gramStart"/>
      <w:r w:rsidRPr="00790651">
        <w:rPr>
          <w:rFonts w:ascii="仿宋_GB2312" w:eastAsia="仿宋_GB2312" w:cs="仿宋" w:hint="eastAsia"/>
          <w:sz w:val="32"/>
          <w:szCs w:val="32"/>
        </w:rPr>
        <w:t>较预算</w:t>
      </w:r>
      <w:proofErr w:type="gramEnd"/>
      <w:r w:rsidRPr="00790651">
        <w:rPr>
          <w:rFonts w:ascii="仿宋_GB2312" w:eastAsia="仿宋_GB2312" w:cs="仿宋" w:hint="eastAsia"/>
          <w:sz w:val="32"/>
          <w:szCs w:val="32"/>
        </w:rPr>
        <w:t>金额有较大调整。</w:t>
      </w:r>
    </w:p>
    <w:p w14:paraId="6F3CABB1"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3"/>
        <w:jc w:val="both"/>
        <w:rPr>
          <w:rFonts w:ascii="仿宋_GB2312" w:eastAsia="仿宋_GB2312" w:cs="仿宋"/>
          <w:sz w:val="32"/>
          <w:szCs w:val="32"/>
        </w:rPr>
      </w:pPr>
      <w:r w:rsidRPr="00790651">
        <w:rPr>
          <w:rFonts w:ascii="仿宋_GB2312" w:eastAsia="仿宋_GB2312" w:cs="仿宋" w:hint="eastAsia"/>
          <w:b/>
          <w:bCs/>
          <w:sz w:val="32"/>
          <w:szCs w:val="32"/>
        </w:rPr>
        <w:t>建议：</w:t>
      </w:r>
      <w:r w:rsidRPr="00790651">
        <w:rPr>
          <w:rFonts w:ascii="仿宋_GB2312" w:eastAsia="仿宋_GB2312" w:cs="仿宋" w:hint="eastAsia"/>
          <w:sz w:val="32"/>
          <w:szCs w:val="32"/>
        </w:rPr>
        <w:t>部门加强预算管理，根据其依法履行职能的需要以及存量资产情况，编制本部门、本单位预算。</w:t>
      </w:r>
    </w:p>
    <w:p w14:paraId="05938EE1"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（二）新增</w:t>
      </w:r>
      <w:proofErr w:type="gramStart"/>
      <w:r w:rsidRPr="00790651">
        <w:rPr>
          <w:rFonts w:ascii="仿宋_GB2312" w:eastAsia="仿宋_GB2312" w:cs="仿宋" w:hint="eastAsia"/>
          <w:b/>
          <w:bCs/>
          <w:kern w:val="0"/>
          <w:sz w:val="32"/>
          <w:szCs w:val="32"/>
        </w:rPr>
        <w:t>债用于</w:t>
      </w:r>
      <w:proofErr w:type="gramEnd"/>
      <w:r w:rsidRPr="00790651">
        <w:rPr>
          <w:rFonts w:ascii="仿宋_GB2312" w:eastAsia="仿宋_GB2312" w:cs="仿宋" w:hint="eastAsia"/>
          <w:b/>
          <w:bCs/>
          <w:kern w:val="0"/>
          <w:sz w:val="32"/>
          <w:szCs w:val="32"/>
        </w:rPr>
        <w:t>粮油食品加工产业</w:t>
      </w:r>
      <w:proofErr w:type="gramStart"/>
      <w:r w:rsidRPr="00790651">
        <w:rPr>
          <w:rFonts w:ascii="仿宋_GB2312" w:eastAsia="仿宋_GB2312" w:cs="仿宋" w:hint="eastAsia"/>
          <w:b/>
          <w:bCs/>
          <w:kern w:val="0"/>
          <w:sz w:val="32"/>
          <w:szCs w:val="32"/>
        </w:rPr>
        <w:t>园基础</w:t>
      </w:r>
      <w:proofErr w:type="gramEnd"/>
      <w:r w:rsidRPr="00790651">
        <w:rPr>
          <w:rFonts w:ascii="仿宋_GB2312" w:eastAsia="仿宋_GB2312" w:cs="仿宋" w:hint="eastAsia"/>
          <w:b/>
          <w:bCs/>
          <w:kern w:val="0"/>
          <w:sz w:val="32"/>
          <w:szCs w:val="32"/>
        </w:rPr>
        <w:t>设施配套项目未如期完成</w:t>
      </w:r>
    </w:p>
    <w:p w14:paraId="08DCFEAC"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rPr>
          <w:rFonts w:ascii="仿宋_GB2312" w:eastAsia="仿宋_GB2312" w:cs="仿宋"/>
          <w:b/>
          <w:bCs/>
          <w:sz w:val="32"/>
          <w:szCs w:val="32"/>
        </w:rPr>
      </w:pPr>
      <w:proofErr w:type="gramStart"/>
      <w:r w:rsidRPr="00790651">
        <w:rPr>
          <w:rFonts w:ascii="仿宋_GB2312" w:eastAsia="仿宋_GB2312" w:cs="仿宋" w:hint="eastAsia"/>
          <w:sz w:val="32"/>
          <w:szCs w:val="32"/>
        </w:rPr>
        <w:t>因益海嘉</w:t>
      </w:r>
      <w:proofErr w:type="gramEnd"/>
      <w:r w:rsidRPr="00790651">
        <w:rPr>
          <w:rFonts w:ascii="仿宋_GB2312" w:eastAsia="仿宋_GB2312" w:cs="仿宋" w:hint="eastAsia"/>
          <w:sz w:val="32"/>
          <w:szCs w:val="32"/>
        </w:rPr>
        <w:t>里（秦皇岛）粮油工业有限公司的变电站建设地址涉及到秦皇岛凯普商贸有限公司厂内且该公司目前尚未完全搬迁，变电站未进行建设施工，致使粮油食品加工产</w:t>
      </w:r>
      <w:r w:rsidRPr="00790651">
        <w:rPr>
          <w:rFonts w:ascii="仿宋_GB2312" w:eastAsia="仿宋_GB2312" w:cs="仿宋" w:hint="eastAsia"/>
          <w:sz w:val="32"/>
          <w:szCs w:val="32"/>
        </w:rPr>
        <w:lastRenderedPageBreak/>
        <w:t>业</w:t>
      </w:r>
      <w:proofErr w:type="gramStart"/>
      <w:r w:rsidRPr="00790651">
        <w:rPr>
          <w:rFonts w:ascii="仿宋_GB2312" w:eastAsia="仿宋_GB2312" w:cs="仿宋" w:hint="eastAsia"/>
          <w:sz w:val="32"/>
          <w:szCs w:val="32"/>
        </w:rPr>
        <w:t>园基础</w:t>
      </w:r>
      <w:proofErr w:type="gramEnd"/>
      <w:r w:rsidRPr="00790651">
        <w:rPr>
          <w:rFonts w:ascii="仿宋_GB2312" w:eastAsia="仿宋_GB2312" w:cs="仿宋" w:hint="eastAsia"/>
          <w:sz w:val="32"/>
          <w:szCs w:val="32"/>
        </w:rPr>
        <w:t>设施配套建设工程电缆未按计划铺设。</w:t>
      </w:r>
    </w:p>
    <w:p w14:paraId="2122B10D"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截至2022年12月31日，该项目财政拨款7300万元（3300万元为政府专项债务），已按照施工进度支付工程款和二三类费用5</w:t>
      </w:r>
      <w:r w:rsidRPr="00790651">
        <w:rPr>
          <w:rFonts w:ascii="仿宋_GB2312" w:eastAsia="仿宋_GB2312" w:cs="仿宋"/>
          <w:sz w:val="32"/>
          <w:szCs w:val="32"/>
        </w:rPr>
        <w:t>050</w:t>
      </w:r>
      <w:r w:rsidRPr="00790651">
        <w:rPr>
          <w:rFonts w:ascii="仿宋_GB2312" w:eastAsia="仿宋_GB2312" w:cs="仿宋" w:hint="eastAsia"/>
          <w:sz w:val="32"/>
          <w:szCs w:val="32"/>
        </w:rPr>
        <w:t>万元，</w:t>
      </w:r>
      <w:proofErr w:type="gramStart"/>
      <w:r w:rsidRPr="00790651">
        <w:rPr>
          <w:rFonts w:ascii="仿宋_GB2312" w:eastAsia="仿宋_GB2312" w:cs="仿宋" w:hint="eastAsia"/>
          <w:sz w:val="32"/>
          <w:szCs w:val="32"/>
        </w:rPr>
        <w:t>现银行</w:t>
      </w:r>
      <w:proofErr w:type="gramEnd"/>
      <w:r w:rsidRPr="00790651">
        <w:rPr>
          <w:rFonts w:ascii="仿宋_GB2312" w:eastAsia="仿宋_GB2312" w:cs="仿宋" w:hint="eastAsia"/>
          <w:sz w:val="32"/>
          <w:szCs w:val="32"/>
        </w:rPr>
        <w:t>专户里结余资金2</w:t>
      </w:r>
      <w:r w:rsidRPr="00790651">
        <w:rPr>
          <w:rFonts w:ascii="仿宋_GB2312" w:eastAsia="仿宋_GB2312" w:cs="仿宋"/>
          <w:sz w:val="32"/>
          <w:szCs w:val="32"/>
        </w:rPr>
        <w:t>297</w:t>
      </w:r>
      <w:r w:rsidRPr="00790651">
        <w:rPr>
          <w:rFonts w:ascii="仿宋_GB2312" w:eastAsia="仿宋_GB2312" w:cs="仿宋" w:hint="eastAsia"/>
          <w:sz w:val="32"/>
          <w:szCs w:val="32"/>
        </w:rPr>
        <w:t>万元（含利息）。</w:t>
      </w:r>
    </w:p>
    <w:p w14:paraId="4AEF0BC6"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3"/>
        <w:rPr>
          <w:rFonts w:ascii="仿宋_GB2312" w:eastAsia="仿宋_GB2312" w:cs="仿宋"/>
          <w:sz w:val="32"/>
          <w:szCs w:val="32"/>
        </w:rPr>
      </w:pPr>
      <w:r w:rsidRPr="00790651">
        <w:rPr>
          <w:rFonts w:ascii="仿宋_GB2312" w:eastAsia="仿宋_GB2312" w:cs="仿宋" w:hint="eastAsia"/>
          <w:b/>
          <w:bCs/>
          <w:sz w:val="32"/>
          <w:szCs w:val="32"/>
        </w:rPr>
        <w:t>建议：</w:t>
      </w:r>
      <w:r w:rsidRPr="00790651">
        <w:rPr>
          <w:rFonts w:ascii="仿宋_GB2312" w:eastAsia="仿宋_GB2312" w:cs="仿宋" w:hint="eastAsia"/>
          <w:sz w:val="32"/>
          <w:szCs w:val="32"/>
        </w:rPr>
        <w:t>加强专项资金的跟踪管理，提高预算绩效管理意识，全力提高债券资金使用效率，确保资金绩效目标的实现。</w:t>
      </w:r>
    </w:p>
    <w:p w14:paraId="4FA392C8"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（三）液化气财政补贴预算编制依据不充分，资金监管工作待完善</w:t>
      </w:r>
    </w:p>
    <w:p w14:paraId="5142D30E"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jc w:val="both"/>
        <w:rPr>
          <w:rFonts w:ascii="仿宋_GB2312" w:eastAsia="仿宋_GB2312" w:cs="仿宋"/>
          <w:sz w:val="32"/>
          <w:szCs w:val="32"/>
        </w:rPr>
      </w:pPr>
      <w:r w:rsidRPr="00790651">
        <w:rPr>
          <w:rFonts w:ascii="仿宋_GB2312" w:eastAsia="仿宋_GB2312" w:cs="仿宋" w:hint="eastAsia"/>
          <w:sz w:val="32"/>
          <w:szCs w:val="32"/>
        </w:rPr>
        <w:t>2022年初一次性拨付秦皇岛市液化石油气总公司2022年的液化气补贴150万元。因液化气钢瓶的更新和</w:t>
      </w:r>
      <w:proofErr w:type="gramStart"/>
      <w:r w:rsidRPr="00790651">
        <w:rPr>
          <w:rFonts w:ascii="仿宋_GB2312" w:eastAsia="仿宋_GB2312" w:cs="仿宋" w:hint="eastAsia"/>
          <w:sz w:val="32"/>
          <w:szCs w:val="32"/>
        </w:rPr>
        <w:t>瓶库对</w:t>
      </w:r>
      <w:proofErr w:type="gramEnd"/>
      <w:r w:rsidRPr="00790651">
        <w:rPr>
          <w:rFonts w:ascii="仿宋_GB2312" w:eastAsia="仿宋_GB2312" w:cs="仿宋" w:hint="eastAsia"/>
          <w:sz w:val="32"/>
          <w:szCs w:val="32"/>
        </w:rPr>
        <w:t>周边环境的影响，液化气公司于2022年8月停止液化气相关业务。2023年市国资委已取消对液化气公司的资金补贴。</w:t>
      </w:r>
    </w:p>
    <w:p w14:paraId="0BA7961B"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3"/>
        <w:jc w:val="both"/>
        <w:rPr>
          <w:rFonts w:ascii="仿宋_GB2312" w:eastAsia="仿宋_GB2312" w:cs="仿宋"/>
          <w:sz w:val="32"/>
          <w:szCs w:val="32"/>
          <w:shd w:val="solid" w:color="FFFF00" w:fill="FFFFFF"/>
        </w:rPr>
      </w:pPr>
      <w:r w:rsidRPr="00790651">
        <w:rPr>
          <w:rFonts w:ascii="仿宋_GB2312" w:eastAsia="仿宋_GB2312" w:cs="仿宋" w:hint="eastAsia"/>
          <w:b/>
          <w:bCs/>
          <w:sz w:val="32"/>
          <w:szCs w:val="32"/>
        </w:rPr>
        <w:t>建议：</w:t>
      </w:r>
      <w:r w:rsidRPr="00790651">
        <w:rPr>
          <w:rFonts w:ascii="仿宋_GB2312" w:eastAsia="仿宋_GB2312" w:cs="仿宋" w:hint="eastAsia"/>
          <w:sz w:val="32"/>
          <w:szCs w:val="32"/>
        </w:rPr>
        <w:t>市国资委应对下拨的专项资金的使用和管理情况进行整体掌握和动态跟踪，加强对资金执行效果的关注度。</w:t>
      </w:r>
    </w:p>
    <w:p w14:paraId="3736515E"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（四）资产经营公司人员配置超标且收入来源单一</w:t>
      </w:r>
    </w:p>
    <w:p w14:paraId="39DC4888"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jc w:val="both"/>
        <w:rPr>
          <w:rFonts w:ascii="仿宋_GB2312" w:eastAsia="仿宋_GB2312" w:cs="仿宋"/>
          <w:b/>
          <w:bCs/>
          <w:sz w:val="32"/>
          <w:szCs w:val="32"/>
        </w:rPr>
      </w:pPr>
      <w:r w:rsidRPr="00790651">
        <w:rPr>
          <w:rFonts w:ascii="仿宋_GB2312" w:eastAsia="仿宋_GB2312" w:cs="仿宋" w:hint="eastAsia"/>
          <w:sz w:val="32"/>
          <w:szCs w:val="32"/>
        </w:rPr>
        <w:t>截至2022年12月31日，</w:t>
      </w:r>
      <w:proofErr w:type="gramStart"/>
      <w:r w:rsidRPr="00790651">
        <w:rPr>
          <w:rFonts w:ascii="仿宋_GB2312" w:eastAsia="仿宋_GB2312" w:cs="仿宋" w:hint="eastAsia"/>
          <w:sz w:val="32"/>
          <w:szCs w:val="32"/>
        </w:rPr>
        <w:t>市商投公司</w:t>
      </w:r>
      <w:proofErr w:type="gramEnd"/>
      <w:r w:rsidRPr="00790651">
        <w:rPr>
          <w:rFonts w:ascii="仿宋_GB2312" w:eastAsia="仿宋_GB2312" w:cs="仿宋" w:hint="eastAsia"/>
          <w:sz w:val="32"/>
          <w:szCs w:val="32"/>
        </w:rPr>
        <w:t>在职人员26人，组建批复中要求人员控制在17人以内。</w:t>
      </w:r>
      <w:proofErr w:type="gramStart"/>
      <w:r w:rsidRPr="00790651">
        <w:rPr>
          <w:rFonts w:ascii="仿宋_GB2312" w:eastAsia="仿宋_GB2312" w:cs="仿宋" w:hint="eastAsia"/>
          <w:sz w:val="32"/>
          <w:szCs w:val="32"/>
        </w:rPr>
        <w:t>市商投公司</w:t>
      </w:r>
      <w:proofErr w:type="gramEnd"/>
      <w:r w:rsidRPr="00790651">
        <w:rPr>
          <w:rFonts w:ascii="仿宋_GB2312" w:eastAsia="仿宋_GB2312" w:cs="仿宋" w:hint="eastAsia"/>
          <w:sz w:val="32"/>
          <w:szCs w:val="32"/>
        </w:rPr>
        <w:t>收入来源仅依靠房屋租金和财政补助。</w:t>
      </w:r>
    </w:p>
    <w:p w14:paraId="52D76AE3"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截至2022年12月31日，市工业公司在职人员34人，临时聘用人员5人，食堂人员1人。组建批复文件“职工总数暂定为45人，……以后再逐步精简、分流”。从现有人员构成看，在职人员少于文件暂定人数，但是存在临时聘用5人和食堂1人。</w:t>
      </w:r>
      <w:proofErr w:type="gramStart"/>
      <w:r w:rsidRPr="00790651">
        <w:rPr>
          <w:rFonts w:ascii="仿宋_GB2312" w:eastAsia="仿宋_GB2312" w:cs="仿宋" w:hint="eastAsia"/>
          <w:sz w:val="32"/>
          <w:szCs w:val="32"/>
        </w:rPr>
        <w:t>市商投公司</w:t>
      </w:r>
      <w:proofErr w:type="gramEnd"/>
      <w:r w:rsidRPr="00790651">
        <w:rPr>
          <w:rFonts w:ascii="仿宋_GB2312" w:eastAsia="仿宋_GB2312" w:cs="仿宋" w:hint="eastAsia"/>
          <w:sz w:val="32"/>
          <w:szCs w:val="32"/>
        </w:rPr>
        <w:t>的收入来源仅依靠房屋租金和财政补助。</w:t>
      </w:r>
    </w:p>
    <w:p w14:paraId="2D2C6C5E"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3"/>
        <w:jc w:val="both"/>
        <w:rPr>
          <w:rFonts w:ascii="仿宋_GB2312" w:eastAsia="仿宋_GB2312" w:cs="仿宋"/>
          <w:sz w:val="32"/>
          <w:szCs w:val="32"/>
        </w:rPr>
      </w:pPr>
      <w:r w:rsidRPr="00790651">
        <w:rPr>
          <w:rFonts w:ascii="仿宋_GB2312" w:eastAsia="仿宋_GB2312" w:cs="仿宋" w:hint="eastAsia"/>
          <w:b/>
          <w:bCs/>
          <w:sz w:val="32"/>
          <w:szCs w:val="32"/>
        </w:rPr>
        <w:t>建议</w:t>
      </w:r>
      <w:r w:rsidRPr="00790651">
        <w:rPr>
          <w:rFonts w:ascii="仿宋_GB2312" w:eastAsia="仿宋_GB2312" w:cs="仿宋" w:hint="eastAsia"/>
          <w:sz w:val="32"/>
          <w:szCs w:val="32"/>
        </w:rPr>
        <w:t>：</w:t>
      </w:r>
      <w:proofErr w:type="gramStart"/>
      <w:r w:rsidRPr="00790651">
        <w:rPr>
          <w:rFonts w:ascii="仿宋_GB2312" w:eastAsia="仿宋_GB2312" w:cs="仿宋" w:hint="eastAsia"/>
          <w:sz w:val="32"/>
          <w:szCs w:val="32"/>
        </w:rPr>
        <w:t>市商投公司</w:t>
      </w:r>
      <w:proofErr w:type="gramEnd"/>
      <w:r w:rsidRPr="00790651">
        <w:rPr>
          <w:rFonts w:ascii="仿宋_GB2312" w:eastAsia="仿宋_GB2312" w:cs="仿宋" w:hint="eastAsia"/>
          <w:sz w:val="32"/>
          <w:szCs w:val="32"/>
        </w:rPr>
        <w:t>和市工业公司应按照组建批复文件的规定，按照“平稳过渡、逐步分流的原则”对单位人员逐步</w:t>
      </w:r>
      <w:r w:rsidRPr="00790651">
        <w:rPr>
          <w:rFonts w:ascii="仿宋_GB2312" w:eastAsia="仿宋_GB2312" w:cs="仿宋" w:hint="eastAsia"/>
          <w:sz w:val="32"/>
          <w:szCs w:val="32"/>
        </w:rPr>
        <w:lastRenderedPageBreak/>
        <w:t>分流，减少人员以减轻财政负担。市工业公司与</w:t>
      </w:r>
      <w:proofErr w:type="gramStart"/>
      <w:r w:rsidRPr="00790651">
        <w:rPr>
          <w:rFonts w:ascii="仿宋_GB2312" w:eastAsia="仿宋_GB2312" w:cs="仿宋" w:hint="eastAsia"/>
          <w:sz w:val="32"/>
          <w:szCs w:val="32"/>
        </w:rPr>
        <w:t>市商投公司</w:t>
      </w:r>
      <w:proofErr w:type="gramEnd"/>
      <w:r w:rsidRPr="00790651">
        <w:rPr>
          <w:rFonts w:ascii="仿宋_GB2312" w:eastAsia="仿宋_GB2312" w:cs="仿宋" w:hint="eastAsia"/>
          <w:sz w:val="32"/>
          <w:szCs w:val="32"/>
        </w:rPr>
        <w:t>依法履职，明确职责，积极作为，贯彻落实《企业国有资产法》，确保国有资产收益最大化。</w:t>
      </w:r>
    </w:p>
    <w:p w14:paraId="1C462D30"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（五）公交运营资金补贴中存在的问题</w:t>
      </w:r>
    </w:p>
    <w:p w14:paraId="4B405883"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1</w:t>
      </w:r>
      <w:r w:rsidRPr="00790651">
        <w:rPr>
          <w:rFonts w:ascii="仿宋_GB2312" w:eastAsia="仿宋_GB2312" w:cs="仿宋"/>
          <w:b/>
          <w:bCs/>
          <w:kern w:val="0"/>
          <w:sz w:val="32"/>
          <w:szCs w:val="32"/>
        </w:rPr>
        <w:t>、</w:t>
      </w:r>
      <w:r w:rsidRPr="00790651">
        <w:rPr>
          <w:rFonts w:ascii="仿宋_GB2312" w:eastAsia="仿宋_GB2312" w:cs="仿宋" w:hint="eastAsia"/>
          <w:b/>
          <w:bCs/>
          <w:kern w:val="0"/>
          <w:sz w:val="32"/>
          <w:szCs w:val="32"/>
        </w:rPr>
        <w:t>未区分公交公司政策性亏损和经验性亏损</w:t>
      </w:r>
    </w:p>
    <w:p w14:paraId="7E907DC4"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jc w:val="both"/>
        <w:rPr>
          <w:rFonts w:ascii="仿宋_GB2312" w:eastAsia="仿宋_GB2312" w:cs="仿宋"/>
          <w:sz w:val="32"/>
          <w:szCs w:val="32"/>
        </w:rPr>
      </w:pPr>
      <w:r w:rsidRPr="00790651">
        <w:rPr>
          <w:rFonts w:ascii="仿宋_GB2312" w:eastAsia="仿宋_GB2312" w:cs="仿宋" w:hint="eastAsia"/>
          <w:sz w:val="32"/>
          <w:szCs w:val="32"/>
        </w:rPr>
        <w:t>2022年市国资委对公交公司给与财政补助金额11702万元，其他部门给与补贴资金8318.84万元，2022年共确认其他收益20020.84万元，涵盖当年亏损额的85.19%。就目前财政补贴的方式，直接给与财政补贴资金而没有区分经营亏损和政策性亏损，无法提高企业降低成本和增加收入的积极性，从而导致该种补贴方式效果欠佳。</w:t>
      </w:r>
    </w:p>
    <w:p w14:paraId="0835C2CA"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3"/>
        <w:jc w:val="both"/>
        <w:rPr>
          <w:rFonts w:ascii="仿宋_GB2312" w:eastAsia="仿宋_GB2312" w:cs="仿宋"/>
          <w:sz w:val="32"/>
          <w:szCs w:val="32"/>
        </w:rPr>
      </w:pPr>
      <w:r w:rsidRPr="00790651">
        <w:rPr>
          <w:rFonts w:ascii="仿宋_GB2312" w:eastAsia="仿宋_GB2312" w:cs="仿宋" w:hint="eastAsia"/>
          <w:b/>
          <w:bCs/>
          <w:sz w:val="32"/>
          <w:szCs w:val="32"/>
        </w:rPr>
        <w:t>建议：</w:t>
      </w:r>
      <w:r w:rsidRPr="00790651">
        <w:rPr>
          <w:rFonts w:ascii="仿宋_GB2312" w:eastAsia="仿宋_GB2312" w:cs="仿宋" w:hint="eastAsia"/>
          <w:sz w:val="32"/>
          <w:szCs w:val="32"/>
        </w:rPr>
        <w:t>通过对公交公司的年度审计与评价，合理界定和计算政策性亏损，并给予适当补贴。对公共交通企业承担社会福利和完成政府指令性任务所增加的支出，定期进行专项经济补偿。</w:t>
      </w:r>
    </w:p>
    <w:p w14:paraId="117E7928" w14:textId="77777777" w:rsidR="00790651" w:rsidRPr="00790651" w:rsidRDefault="00790651" w:rsidP="00A55159">
      <w:pPr>
        <w:spacing w:line="500" w:lineRule="exact"/>
        <w:ind w:firstLineChars="200" w:firstLine="643"/>
        <w:rPr>
          <w:rFonts w:ascii="仿宋_GB2312" w:eastAsia="仿宋_GB2312" w:cs="仿宋"/>
          <w:b/>
          <w:bCs/>
          <w:kern w:val="0"/>
          <w:sz w:val="32"/>
          <w:szCs w:val="32"/>
        </w:rPr>
      </w:pPr>
      <w:r w:rsidRPr="00790651">
        <w:rPr>
          <w:rFonts w:ascii="仿宋_GB2312" w:eastAsia="仿宋_GB2312" w:cs="仿宋" w:hint="eastAsia"/>
          <w:b/>
          <w:bCs/>
          <w:kern w:val="0"/>
          <w:sz w:val="32"/>
          <w:szCs w:val="32"/>
        </w:rPr>
        <w:t>2</w:t>
      </w:r>
      <w:r w:rsidRPr="00790651">
        <w:rPr>
          <w:rFonts w:ascii="仿宋_GB2312" w:eastAsia="仿宋_GB2312" w:cs="仿宋"/>
          <w:b/>
          <w:bCs/>
          <w:kern w:val="0"/>
          <w:sz w:val="32"/>
          <w:szCs w:val="32"/>
        </w:rPr>
        <w:t>、</w:t>
      </w:r>
      <w:r w:rsidRPr="00790651">
        <w:rPr>
          <w:rFonts w:ascii="仿宋_GB2312" w:eastAsia="仿宋_GB2312" w:cs="仿宋" w:hint="eastAsia"/>
          <w:b/>
          <w:bCs/>
          <w:kern w:val="0"/>
          <w:sz w:val="32"/>
          <w:szCs w:val="32"/>
        </w:rPr>
        <w:t>公交公司</w:t>
      </w:r>
      <w:proofErr w:type="gramStart"/>
      <w:r w:rsidRPr="00790651">
        <w:rPr>
          <w:rFonts w:ascii="仿宋_GB2312" w:eastAsia="仿宋_GB2312" w:cs="仿宋" w:hint="eastAsia"/>
          <w:b/>
          <w:bCs/>
          <w:kern w:val="0"/>
          <w:sz w:val="32"/>
          <w:szCs w:val="32"/>
        </w:rPr>
        <w:t>管辅人员占比较</w:t>
      </w:r>
      <w:proofErr w:type="gramEnd"/>
      <w:r w:rsidRPr="00790651">
        <w:rPr>
          <w:rFonts w:ascii="仿宋_GB2312" w:eastAsia="仿宋_GB2312" w:cs="仿宋" w:hint="eastAsia"/>
          <w:b/>
          <w:bCs/>
          <w:kern w:val="0"/>
          <w:sz w:val="32"/>
          <w:szCs w:val="32"/>
        </w:rPr>
        <w:t>高，人工成本居高不下</w:t>
      </w:r>
    </w:p>
    <w:p w14:paraId="3BFAA8BB" w14:textId="77777777" w:rsidR="00790651" w:rsidRPr="00790651" w:rsidRDefault="00790651" w:rsidP="00A55159">
      <w:pPr>
        <w:pStyle w:val="a5"/>
        <w:widowControl w:val="0"/>
        <w:shd w:val="clear" w:color="auto" w:fill="FFFFFF"/>
        <w:spacing w:before="0" w:beforeAutospacing="0" w:after="0" w:afterAutospacing="0" w:line="500" w:lineRule="exact"/>
        <w:ind w:firstLineChars="200" w:firstLine="640"/>
        <w:rPr>
          <w:rFonts w:ascii="仿宋_GB2312" w:eastAsia="仿宋_GB2312" w:cs="仿宋"/>
          <w:sz w:val="32"/>
          <w:szCs w:val="32"/>
        </w:rPr>
      </w:pPr>
      <w:r w:rsidRPr="00790651">
        <w:rPr>
          <w:rFonts w:ascii="仿宋_GB2312" w:eastAsia="仿宋_GB2312" w:cs="仿宋" w:hint="eastAsia"/>
          <w:sz w:val="32"/>
          <w:szCs w:val="32"/>
        </w:rPr>
        <w:t>截止2022年12月31日，公交公司共有2171人，其中</w:t>
      </w:r>
      <w:proofErr w:type="gramStart"/>
      <w:r w:rsidRPr="00790651">
        <w:rPr>
          <w:rFonts w:ascii="仿宋_GB2312" w:eastAsia="仿宋_GB2312" w:cs="仿宋" w:hint="eastAsia"/>
          <w:sz w:val="32"/>
          <w:szCs w:val="32"/>
        </w:rPr>
        <w:t>管辅人员</w:t>
      </w:r>
      <w:proofErr w:type="gramEnd"/>
      <w:r w:rsidRPr="00790651">
        <w:rPr>
          <w:rFonts w:ascii="仿宋_GB2312" w:eastAsia="仿宋_GB2312" w:cs="仿宋" w:hint="eastAsia"/>
          <w:sz w:val="32"/>
          <w:szCs w:val="32"/>
        </w:rPr>
        <w:t>1140人，占比52.51%，司机和修理工1031人，占比47.49%。2022年人员费用占总成本费用（27460.58万元）55.22%。因资金紧张，截止2022年12月31日应付职工薪</w:t>
      </w:r>
      <w:proofErr w:type="gramStart"/>
      <w:r w:rsidRPr="00790651">
        <w:rPr>
          <w:rFonts w:ascii="仿宋_GB2312" w:eastAsia="仿宋_GB2312" w:cs="仿宋" w:hint="eastAsia"/>
          <w:sz w:val="32"/>
          <w:szCs w:val="32"/>
        </w:rPr>
        <w:t>酬</w:t>
      </w:r>
      <w:proofErr w:type="gramEnd"/>
      <w:r w:rsidRPr="00790651">
        <w:rPr>
          <w:rFonts w:ascii="仿宋_GB2312" w:eastAsia="仿宋_GB2312" w:cs="仿宋" w:hint="eastAsia"/>
          <w:sz w:val="32"/>
          <w:szCs w:val="32"/>
        </w:rPr>
        <w:t>挂账13127万元。</w:t>
      </w:r>
    </w:p>
    <w:p w14:paraId="07BFAAEF" w14:textId="6D18B4F7" w:rsidR="008468DF" w:rsidRPr="00790651" w:rsidRDefault="00790651" w:rsidP="00A55159">
      <w:pPr>
        <w:pStyle w:val="a5"/>
        <w:widowControl w:val="0"/>
        <w:shd w:val="clear" w:color="auto" w:fill="FFFFFF"/>
        <w:spacing w:before="0" w:beforeAutospacing="0" w:after="0" w:afterAutospacing="0" w:line="500" w:lineRule="exact"/>
        <w:ind w:firstLineChars="200" w:firstLine="640"/>
        <w:rPr>
          <w:sz w:val="32"/>
          <w:szCs w:val="32"/>
        </w:rPr>
      </w:pPr>
      <w:r w:rsidRPr="00790651">
        <w:rPr>
          <w:rFonts w:ascii="仿宋_GB2312" w:eastAsia="仿宋_GB2312" w:cs="仿宋" w:hint="eastAsia"/>
          <w:sz w:val="32"/>
          <w:szCs w:val="32"/>
        </w:rPr>
        <w:t>建议：建议相关主管部门会同公司相关人员对公司岗位进行一次核查，以便确定各岗位实际需要的人员情况，合理确定管理人员与辅助人员人数。并将人员</w:t>
      </w:r>
      <w:proofErr w:type="gramStart"/>
      <w:r w:rsidRPr="00790651">
        <w:rPr>
          <w:rFonts w:ascii="仿宋_GB2312" w:eastAsia="仿宋_GB2312" w:cs="仿宋" w:hint="eastAsia"/>
          <w:sz w:val="32"/>
          <w:szCs w:val="32"/>
        </w:rPr>
        <w:t>薪</w:t>
      </w:r>
      <w:proofErr w:type="gramEnd"/>
      <w:r w:rsidRPr="00790651">
        <w:rPr>
          <w:rFonts w:ascii="仿宋_GB2312" w:eastAsia="仿宋_GB2312" w:cs="仿宋" w:hint="eastAsia"/>
          <w:sz w:val="32"/>
          <w:szCs w:val="32"/>
        </w:rPr>
        <w:t>酬和公司利润指标挂钩，带动人员积极性提高公司营业收入，挖掘内部利润增长潜力，逐步提高公司的盈利能力，降低对财政补贴资金的依赖性。</w:t>
      </w:r>
    </w:p>
    <w:sectPr w:rsidR="008468DF" w:rsidRPr="00790651" w:rsidSect="0084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0651"/>
    <w:rsid w:val="00790651"/>
    <w:rsid w:val="008468DF"/>
    <w:rsid w:val="00A55159"/>
    <w:rsid w:val="00B6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0CB3"/>
  <w15:docId w15:val="{70BB81CA-6B98-4CE1-8B81-E88B8A40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rsid w:val="007906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90651"/>
    <w:pPr>
      <w:spacing w:after="120"/>
      <w:ind w:leftChars="200" w:left="420"/>
    </w:pPr>
  </w:style>
  <w:style w:type="character" w:customStyle="1" w:styleId="a4">
    <w:name w:val="正文文本缩进 字符"/>
    <w:basedOn w:val="a0"/>
    <w:link w:val="a3"/>
    <w:uiPriority w:val="99"/>
    <w:semiHidden/>
    <w:rsid w:val="00790651"/>
    <w:rPr>
      <w:rFonts w:ascii="Calibri" w:eastAsia="宋体" w:hAnsi="Calibri" w:cs="Times New Roman"/>
    </w:rPr>
  </w:style>
  <w:style w:type="paragraph" w:styleId="2">
    <w:name w:val="Body Text First Indent 2"/>
    <w:basedOn w:val="a3"/>
    <w:link w:val="20"/>
    <w:uiPriority w:val="99"/>
    <w:semiHidden/>
    <w:unhideWhenUsed/>
    <w:rsid w:val="00790651"/>
    <w:pPr>
      <w:ind w:firstLineChars="200" w:firstLine="420"/>
    </w:pPr>
  </w:style>
  <w:style w:type="character" w:customStyle="1" w:styleId="20">
    <w:name w:val="正文文本首行缩进 2 字符"/>
    <w:basedOn w:val="a4"/>
    <w:link w:val="2"/>
    <w:uiPriority w:val="99"/>
    <w:semiHidden/>
    <w:rsid w:val="00790651"/>
    <w:rPr>
      <w:rFonts w:ascii="Calibri" w:eastAsia="宋体" w:hAnsi="Calibri" w:cs="Times New Roman"/>
    </w:rPr>
  </w:style>
  <w:style w:type="paragraph" w:styleId="a5">
    <w:name w:val="Normal (Web)"/>
    <w:basedOn w:val="a"/>
    <w:rsid w:val="00790651"/>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春丽 张</cp:lastModifiedBy>
  <cp:revision>3</cp:revision>
  <dcterms:created xsi:type="dcterms:W3CDTF">2023-11-02T00:51:00Z</dcterms:created>
  <dcterms:modified xsi:type="dcterms:W3CDTF">2023-11-06T02:58:00Z</dcterms:modified>
</cp:coreProperties>
</file>