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方正小标宋简体" w:eastAsia="方正小标宋简体"/>
          <w:b/>
          <w:bCs/>
          <w:kern w:val="0"/>
          <w:sz w:val="44"/>
          <w:szCs w:val="44"/>
        </w:rPr>
      </w:pPr>
      <w:r>
        <w:rPr>
          <w:rFonts w:hint="eastAsia" w:ascii="方正小标宋简体" w:eastAsia="方正小标宋简体"/>
          <w:b/>
          <w:bCs/>
          <w:kern w:val="0"/>
          <w:sz w:val="44"/>
          <w:szCs w:val="44"/>
        </w:rPr>
        <w:t>秦皇岛市第三医院迁建工程专项债券</w:t>
      </w:r>
    </w:p>
    <w:p>
      <w:pPr>
        <w:widowControl/>
        <w:spacing w:line="360" w:lineRule="auto"/>
        <w:jc w:val="center"/>
        <w:rPr>
          <w:rFonts w:ascii="方正小标宋简体" w:eastAsia="方正小标宋简体" w:cs="宋体"/>
          <w:b/>
          <w:bCs/>
          <w:kern w:val="0"/>
          <w:sz w:val="44"/>
          <w:szCs w:val="44"/>
        </w:rPr>
      </w:pPr>
      <w:r>
        <w:rPr>
          <w:rFonts w:hint="eastAsia" w:ascii="方正小标宋简体" w:eastAsia="方正小标宋简体" w:cs="宋体"/>
          <w:b/>
          <w:bCs/>
          <w:kern w:val="0"/>
          <w:sz w:val="44"/>
          <w:szCs w:val="44"/>
        </w:rPr>
        <w:t>项目</w:t>
      </w:r>
      <w:r>
        <w:rPr>
          <w:rFonts w:ascii="方正小标宋简体" w:eastAsia="方正小标宋简体"/>
          <w:b/>
          <w:bCs/>
          <w:kern w:val="0"/>
          <w:sz w:val="44"/>
          <w:szCs w:val="44"/>
        </w:rPr>
        <w:t>支出</w:t>
      </w:r>
      <w:r>
        <w:rPr>
          <w:rFonts w:hint="eastAsia" w:ascii="方正小标宋简体" w:eastAsia="方正小标宋简体" w:cs="宋体"/>
          <w:b/>
          <w:bCs/>
          <w:kern w:val="0"/>
          <w:sz w:val="44"/>
          <w:szCs w:val="44"/>
        </w:rPr>
        <w:t>绩效评价报告</w:t>
      </w:r>
    </w:p>
    <w:p>
      <w:pPr>
        <w:widowControl/>
        <w:snapToGrid w:val="0"/>
        <w:spacing w:line="600" w:lineRule="exact"/>
        <w:jc w:val="left"/>
        <w:rPr>
          <w:rFonts w:ascii="仿宋_GB2312" w:eastAsia="仿宋_GB2312" w:cs="宋体"/>
          <w:kern w:val="0"/>
          <w:sz w:val="32"/>
          <w:szCs w:val="32"/>
        </w:rPr>
      </w:pPr>
    </w:p>
    <w:p>
      <w:pPr>
        <w:widowControl/>
        <w:spacing w:line="500" w:lineRule="exact"/>
        <w:ind w:firstLine="640" w:firstLineChars="200"/>
        <w:rPr>
          <w:rFonts w:ascii="仿宋_GB2312" w:eastAsia="仿宋_GB2312"/>
          <w:sz w:val="32"/>
          <w:szCs w:val="32"/>
        </w:rPr>
      </w:pPr>
      <w:r>
        <w:rPr>
          <w:rFonts w:hint="eastAsia" w:ascii="仿宋_GB2312" w:eastAsia="仿宋_GB2312"/>
          <w:sz w:val="32"/>
          <w:szCs w:val="32"/>
        </w:rPr>
        <w:t>为贯彻落实全面实施预算绩效管理工作要求，进一步加强财政支出项目绩效管理和追踪问效，提升财政资金配置效率、使用效益和政府公共服务管理水平，根据</w:t>
      </w:r>
      <w:bookmarkStart w:id="0" w:name="_GoBack"/>
      <w:r>
        <w:rPr>
          <w:rFonts w:hint="eastAsia" w:ascii="仿宋_GB2312" w:eastAsia="仿宋_GB2312"/>
          <w:color w:val="auto"/>
          <w:sz w:val="32"/>
          <w:szCs w:val="32"/>
        </w:rPr>
        <w:t>《关于全面实施预算绩效管理的实施意见》（冀发〔2018〕54号）</w:t>
      </w:r>
      <w:r>
        <w:rPr>
          <w:rFonts w:hint="eastAsia" w:ascii="仿宋_GB2312" w:eastAsia="仿宋_GB2312"/>
          <w:color w:val="auto"/>
          <w:sz w:val="32"/>
          <w:szCs w:val="32"/>
          <w:lang w:eastAsia="zh-CN"/>
        </w:rPr>
        <w:t>、《河北省政府专项债券项目资金绩效管理办法》（冀财债〔2021〕41 号）、</w:t>
      </w:r>
      <w:r>
        <w:rPr>
          <w:rFonts w:hint="eastAsia" w:ascii="仿宋_GB2312" w:eastAsia="仿宋_GB2312"/>
          <w:color w:val="auto"/>
          <w:sz w:val="32"/>
          <w:szCs w:val="32"/>
        </w:rPr>
        <w:t>《</w:t>
      </w:r>
      <w:bookmarkEnd w:id="0"/>
      <w:r>
        <w:rPr>
          <w:rFonts w:hint="eastAsia" w:ascii="仿宋_GB2312" w:eastAsia="仿宋_GB2312"/>
          <w:sz w:val="32"/>
          <w:szCs w:val="32"/>
        </w:rPr>
        <w:t>秦皇岛市市级预算绩效重点评价管理办法》（秦财监〔2020〕138号）、《秦皇岛市新增政府债券资金和项目绩效管理办法》（秦财债（2020）606号）、《秦皇岛市新增政府债券资金和项目绩效管理办法》（秦财债（2021）434号）相关规定和秦皇岛市财政局的其他要求，受秦皇岛市财政局委托，秦皇岛市含章会计师事务所（普通合伙）作为第三方社会评价机构，承担秦皇岛市第三医院牵头、秦皇岛市</w:t>
      </w:r>
      <w:r>
        <w:rPr>
          <w:rFonts w:hint="eastAsia" w:ascii="仿宋_GB2312" w:eastAsia="仿宋_GB2312" w:cs="宋体"/>
          <w:kern w:val="0"/>
          <w:sz w:val="32"/>
          <w:szCs w:val="32"/>
        </w:rPr>
        <w:t>政府投资项目代建中心代为建设的“秦皇岛市第三医院迁建工程专项债券”项目绩效评价工作。</w:t>
      </w:r>
      <w:r>
        <w:rPr>
          <w:rFonts w:hint="eastAsia" w:ascii="仿宋_GB2312" w:eastAsia="仿宋_GB2312"/>
          <w:sz w:val="32"/>
          <w:szCs w:val="32"/>
        </w:rPr>
        <w:t>评估工作组根据</w:t>
      </w:r>
      <w:r>
        <w:rPr>
          <w:rFonts w:ascii="仿宋_GB2312" w:eastAsia="仿宋_GB2312"/>
          <w:sz w:val="32"/>
          <w:szCs w:val="32"/>
        </w:rPr>
        <w:t>绩效评价</w:t>
      </w:r>
      <w:r>
        <w:rPr>
          <w:rFonts w:hint="eastAsia" w:ascii="仿宋_GB2312" w:eastAsia="仿宋_GB2312"/>
          <w:sz w:val="32"/>
          <w:szCs w:val="32"/>
        </w:rPr>
        <w:t>工作方案开展本次评价工作，经过项目数据采集、访谈、社会调查等必要评价程序，运用绩效管理和统计方法，在梳理、分析评价数据资料基础上，形成本评价报告。</w:t>
      </w:r>
    </w:p>
    <w:p>
      <w:pPr>
        <w:adjustRightInd w:val="0"/>
        <w:snapToGrid w:val="0"/>
        <w:spacing w:line="500" w:lineRule="exact"/>
        <w:ind w:firstLine="643" w:firstLineChars="200"/>
        <w:rPr>
          <w:rFonts w:ascii="仿宋_GB2312" w:eastAsia="仿宋_GB2312" w:cs="宋体"/>
          <w:b/>
          <w:kern w:val="0"/>
          <w:sz w:val="32"/>
          <w:szCs w:val="32"/>
        </w:rPr>
      </w:pPr>
      <w:r>
        <w:rPr>
          <w:rFonts w:hint="eastAsia" w:ascii="仿宋_GB2312" w:eastAsia="仿宋_GB2312" w:cs="宋体"/>
          <w:b/>
          <w:kern w:val="0"/>
          <w:sz w:val="32"/>
          <w:szCs w:val="32"/>
        </w:rPr>
        <w:t>一、项目概况</w:t>
      </w:r>
    </w:p>
    <w:p>
      <w:pPr>
        <w:adjustRightInd w:val="0"/>
        <w:snapToGrid w:val="0"/>
        <w:spacing w:line="500" w:lineRule="exact"/>
        <w:ind w:firstLine="643" w:firstLineChars="200"/>
        <w:rPr>
          <w:rFonts w:ascii="仿宋_GB2312" w:eastAsia="仿宋_GB2312" w:cs="宋体"/>
          <w:b/>
          <w:bCs/>
          <w:kern w:val="0"/>
          <w:sz w:val="32"/>
          <w:szCs w:val="32"/>
        </w:rPr>
      </w:pPr>
      <w:r>
        <w:rPr>
          <w:rFonts w:hint="eastAsia" w:ascii="仿宋_GB2312" w:eastAsia="仿宋_GB2312" w:cs="宋体"/>
          <w:b/>
          <w:bCs/>
          <w:kern w:val="0"/>
          <w:sz w:val="32"/>
          <w:szCs w:val="32"/>
        </w:rPr>
        <w:t>（一）项目背景</w:t>
      </w:r>
    </w:p>
    <w:p>
      <w:pPr>
        <w:adjustRightInd w:val="0"/>
        <w:snapToGrid w:val="0"/>
        <w:spacing w:line="50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秦皇岛市第三医院院址场地有限的问题日益凸显，与医院定位、工作任务和发展方向不匹配。同时，秦皇岛市北部工业园地区医疗条件相对薄弱。</w:t>
      </w:r>
    </w:p>
    <w:p>
      <w:pPr>
        <w:adjustRightInd w:val="0"/>
        <w:snapToGrid w:val="0"/>
        <w:spacing w:line="500" w:lineRule="exact"/>
        <w:ind w:firstLine="643" w:firstLineChars="200"/>
        <w:rPr>
          <w:rFonts w:ascii="仿宋_GB2312" w:eastAsia="仿宋_GB2312" w:cs="宋体"/>
          <w:b/>
          <w:bCs/>
          <w:kern w:val="0"/>
          <w:sz w:val="32"/>
          <w:szCs w:val="32"/>
        </w:rPr>
      </w:pPr>
      <w:r>
        <w:rPr>
          <w:rFonts w:hint="eastAsia" w:ascii="仿宋_GB2312" w:eastAsia="仿宋_GB2312" w:cs="宋体"/>
          <w:b/>
          <w:bCs/>
          <w:kern w:val="0"/>
          <w:sz w:val="32"/>
          <w:szCs w:val="32"/>
        </w:rPr>
        <w:t>（二）项目主要内容</w:t>
      </w:r>
    </w:p>
    <w:p>
      <w:pPr>
        <w:adjustRightInd w:val="0"/>
        <w:snapToGrid w:val="0"/>
        <w:spacing w:line="50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项目拟用地约100亩，总建筑面积96,100.00㎡。建设内容包括综合医院、传染病医院、附属综合楼及辅助用房、场区管网、绿化景观、围墙、大门、停车场等附属设施。项目床位设计规划为 800 张，其中综合病区 400 张、传染病病区 400 张。</w:t>
      </w:r>
    </w:p>
    <w:p>
      <w:pPr>
        <w:adjustRightInd w:val="0"/>
        <w:snapToGrid w:val="0"/>
        <w:spacing w:line="500" w:lineRule="exact"/>
        <w:ind w:firstLine="643" w:firstLineChars="200"/>
        <w:rPr>
          <w:rFonts w:ascii="仿宋_GB2312" w:eastAsia="仿宋_GB2312" w:cs="宋体"/>
          <w:b/>
          <w:bCs/>
          <w:kern w:val="0"/>
          <w:sz w:val="32"/>
          <w:szCs w:val="32"/>
        </w:rPr>
      </w:pPr>
      <w:r>
        <w:rPr>
          <w:rFonts w:hint="eastAsia" w:ascii="仿宋_GB2312" w:eastAsia="仿宋_GB2312" w:cs="宋体"/>
          <w:b/>
          <w:bCs/>
          <w:kern w:val="0"/>
          <w:sz w:val="32"/>
          <w:szCs w:val="32"/>
        </w:rPr>
        <w:t>（三）项目实施情况</w:t>
      </w:r>
    </w:p>
    <w:p>
      <w:pPr>
        <w:adjustRightInd w:val="0"/>
        <w:snapToGrid w:val="0"/>
        <w:spacing w:line="50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2020年2月，经秦皇岛市人民政府市长办公会第四次会议决议，本项目正式启动。本项目于2020年完成《项目建议书》《可行性研究报告》《初步设计说明》等文件的编制，完成选址论证、招标、设计等工作。</w:t>
      </w:r>
    </w:p>
    <w:p>
      <w:pPr>
        <w:adjustRightInd w:val="0"/>
        <w:snapToGrid w:val="0"/>
        <w:spacing w:line="50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本项目于2021年9月底实际开工，于2022年10月完成主体钢结构封顶。截至2022年12月，项目已全面转入二次结构及专业安装施工阶段。</w:t>
      </w:r>
    </w:p>
    <w:p>
      <w:pPr>
        <w:adjustRightInd w:val="0"/>
        <w:snapToGrid w:val="0"/>
        <w:spacing w:line="500" w:lineRule="exact"/>
        <w:ind w:firstLine="643" w:firstLineChars="200"/>
        <w:rPr>
          <w:rFonts w:ascii="仿宋_GB2312" w:eastAsia="仿宋_GB2312" w:cs="宋体"/>
          <w:b/>
          <w:kern w:val="0"/>
          <w:sz w:val="32"/>
          <w:szCs w:val="32"/>
        </w:rPr>
      </w:pPr>
      <w:r>
        <w:rPr>
          <w:rFonts w:hint="eastAsia" w:ascii="仿宋_GB2312" w:eastAsia="仿宋_GB2312" w:cs="宋体"/>
          <w:b/>
          <w:kern w:val="0"/>
          <w:sz w:val="32"/>
          <w:szCs w:val="32"/>
        </w:rPr>
        <w:t>（四）资金投入和使用情况</w:t>
      </w:r>
    </w:p>
    <w:p>
      <w:pPr>
        <w:adjustRightInd w:val="0"/>
        <w:snapToGrid w:val="0"/>
        <w:spacing w:line="500" w:lineRule="exact"/>
        <w:ind w:firstLine="640" w:firstLineChars="200"/>
        <w:rPr>
          <w:rFonts w:ascii="仿宋_GB2312" w:eastAsia="仿宋_GB2312" w:cs="宋体"/>
          <w:bCs/>
          <w:kern w:val="0"/>
          <w:sz w:val="32"/>
          <w:szCs w:val="32"/>
        </w:rPr>
      </w:pPr>
      <w:r>
        <w:rPr>
          <w:rFonts w:hint="eastAsia" w:ascii="仿宋_GB2312" w:eastAsia="仿宋_GB2312" w:cs="宋体"/>
          <w:kern w:val="0"/>
          <w:sz w:val="32"/>
          <w:szCs w:val="32"/>
        </w:rPr>
        <w:t>本项目匡算总投资</w:t>
      </w:r>
      <w:r>
        <w:rPr>
          <w:rFonts w:hint="eastAsia" w:ascii="仿宋_GB2312" w:eastAsia="仿宋_GB2312" w:cs="宋体"/>
          <w:bCs/>
          <w:kern w:val="0"/>
          <w:sz w:val="32"/>
          <w:szCs w:val="32"/>
        </w:rPr>
        <w:t>64,000.00万元，估算总投资82,000.00万元，概算总投资81,999.64万元。</w:t>
      </w:r>
    </w:p>
    <w:p>
      <w:pPr>
        <w:adjustRightInd w:val="0"/>
        <w:snapToGrid w:val="0"/>
        <w:spacing w:line="500" w:lineRule="exact"/>
        <w:ind w:firstLine="640" w:firstLineChars="200"/>
        <w:rPr>
          <w:rFonts w:ascii="仿宋_GB2312" w:eastAsia="仿宋_GB2312" w:cs="宋体"/>
          <w:bCs/>
          <w:kern w:val="0"/>
          <w:sz w:val="32"/>
          <w:szCs w:val="32"/>
        </w:rPr>
      </w:pPr>
      <w:r>
        <w:rPr>
          <w:rFonts w:hint="eastAsia" w:ascii="仿宋_GB2312" w:eastAsia="仿宋_GB2312" w:cs="宋体"/>
          <w:bCs/>
          <w:kern w:val="0"/>
          <w:sz w:val="32"/>
          <w:szCs w:val="32"/>
        </w:rPr>
        <w:t>截至评价时点，财政局已实际拨付资金40,500.00万元，其中市级财政资金300.00万元，专项债资金40,200.00万元。</w:t>
      </w:r>
    </w:p>
    <w:p>
      <w:pPr>
        <w:adjustRightInd w:val="0"/>
        <w:snapToGrid w:val="0"/>
        <w:spacing w:line="50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截至评价时点，秦皇岛市第三医院账面收到资金40,500.00万元，已全额拨付给秦皇岛市社会公益项目建设管理中心（后更名为秦皇岛市政府投资项目代建中心）。代建中心已实际收到资金40,500.00万元，实际使用36,988.37万元。</w:t>
      </w:r>
    </w:p>
    <w:p>
      <w:pPr>
        <w:adjustRightInd w:val="0"/>
        <w:snapToGrid w:val="0"/>
        <w:spacing w:line="500" w:lineRule="exact"/>
        <w:ind w:firstLine="643" w:firstLineChars="200"/>
        <w:rPr>
          <w:rFonts w:ascii="仿宋_GB2312" w:eastAsia="仿宋_GB2312" w:cs="宋体"/>
          <w:b/>
          <w:kern w:val="0"/>
          <w:sz w:val="32"/>
          <w:szCs w:val="32"/>
        </w:rPr>
      </w:pPr>
      <w:r>
        <w:rPr>
          <w:rFonts w:hint="eastAsia" w:ascii="仿宋_GB2312" w:eastAsia="仿宋_GB2312" w:cs="宋体"/>
          <w:b/>
          <w:kern w:val="0"/>
          <w:sz w:val="32"/>
          <w:szCs w:val="32"/>
        </w:rPr>
        <w:t>二、综合评价情况及评价结论</w:t>
      </w:r>
    </w:p>
    <w:p>
      <w:pPr>
        <w:adjustRightInd w:val="0"/>
        <w:snapToGrid w:val="0"/>
        <w:spacing w:line="500" w:lineRule="exact"/>
        <w:ind w:firstLine="643" w:firstLineChars="200"/>
        <w:rPr>
          <w:rFonts w:ascii="仿宋_GB2312" w:eastAsia="仿宋_GB2312" w:cs="宋体"/>
          <w:b/>
          <w:kern w:val="0"/>
          <w:sz w:val="32"/>
          <w:szCs w:val="32"/>
        </w:rPr>
      </w:pPr>
      <w:r>
        <w:rPr>
          <w:rFonts w:hint="eastAsia" w:ascii="仿宋_GB2312" w:eastAsia="仿宋_GB2312" w:cs="宋体"/>
          <w:b/>
          <w:kern w:val="0"/>
          <w:sz w:val="32"/>
          <w:szCs w:val="32"/>
        </w:rPr>
        <w:t>（一）评价结论</w:t>
      </w:r>
    </w:p>
    <w:p>
      <w:pPr>
        <w:adjustRightInd w:val="0"/>
        <w:snapToGrid w:val="0"/>
        <w:spacing w:line="500" w:lineRule="exact"/>
        <w:ind w:firstLine="640" w:firstLineChars="200"/>
        <w:rPr>
          <w:rFonts w:ascii="仿宋_GB2312" w:eastAsia="仿宋_GB2312" w:cs="宋体"/>
          <w:bCs/>
          <w:kern w:val="0"/>
          <w:sz w:val="32"/>
          <w:szCs w:val="32"/>
        </w:rPr>
      </w:pPr>
      <w:r>
        <w:rPr>
          <w:rFonts w:hint="eastAsia" w:ascii="仿宋_GB2312" w:eastAsia="仿宋_GB2312" w:cs="宋体"/>
          <w:bCs/>
          <w:kern w:val="0"/>
          <w:sz w:val="32"/>
          <w:szCs w:val="32"/>
        </w:rPr>
        <w:t>经综合评价与分析，本项目绩效评价综合得分为83分，绩效评价等级为“良”。其中，项目决策类指标权重为16分，得分为10.5分；项目过程类指标权重为24分，得分为15分；项目产出类指标权重为40分，得分为39分；项目效益类指标权重为20分，得分为18.5分。</w:t>
      </w:r>
      <w:r>
        <w:rPr>
          <w:rFonts w:ascii="仿宋_GB2312" w:eastAsia="仿宋_GB2312" w:cs="宋体"/>
          <w:bCs/>
          <w:kern w:val="0"/>
          <w:sz w:val="32"/>
          <w:szCs w:val="32"/>
        </w:rPr>
        <w:t xml:space="preserve">  </w:t>
      </w:r>
    </w:p>
    <w:p>
      <w:pPr>
        <w:adjustRightInd w:val="0"/>
        <w:snapToGrid w:val="0"/>
        <w:spacing w:line="500" w:lineRule="exact"/>
        <w:ind w:firstLine="643" w:firstLineChars="200"/>
        <w:rPr>
          <w:rFonts w:ascii="仿宋_GB2312" w:eastAsia="仿宋_GB2312" w:cs="宋体"/>
          <w:b/>
          <w:kern w:val="0"/>
          <w:sz w:val="32"/>
          <w:szCs w:val="32"/>
        </w:rPr>
      </w:pPr>
      <w:r>
        <w:rPr>
          <w:rFonts w:hint="eastAsia" w:ascii="仿宋_GB2312" w:eastAsia="仿宋_GB2312" w:cs="宋体"/>
          <w:b/>
          <w:bCs/>
          <w:kern w:val="0"/>
          <w:sz w:val="32"/>
          <w:szCs w:val="32"/>
        </w:rPr>
        <w:t>（二</w:t>
      </w:r>
      <w:r>
        <w:rPr>
          <w:rFonts w:hint="eastAsia" w:ascii="仿宋_GB2312" w:eastAsia="仿宋_GB2312" w:cs="宋体"/>
          <w:b/>
          <w:kern w:val="0"/>
          <w:sz w:val="32"/>
          <w:szCs w:val="32"/>
        </w:rPr>
        <w:t>）绩效情况分析</w:t>
      </w:r>
    </w:p>
    <w:p>
      <w:pPr>
        <w:pStyle w:val="7"/>
        <w:spacing w:line="500" w:lineRule="exact"/>
        <w:ind w:firstLine="527"/>
        <w:jc w:val="both"/>
        <w:rPr>
          <w:rFonts w:ascii="仿宋_GB2312" w:eastAsia="仿宋_GB2312"/>
          <w:sz w:val="32"/>
          <w:szCs w:val="32"/>
        </w:rPr>
      </w:pPr>
      <w:r>
        <w:rPr>
          <w:rFonts w:hint="eastAsia" w:ascii="仿宋_GB2312" w:eastAsia="仿宋_GB2312"/>
          <w:sz w:val="32"/>
          <w:szCs w:val="32"/>
        </w:rPr>
        <w:t>本次绩效评价的目的是根据年初设定的绩效目标，运用科学合理的绩效评价指标、评价标准和评价方法，对本项目支出的经济性、效率性和效益性进行客观、公正的评价。</w:t>
      </w:r>
    </w:p>
    <w:p>
      <w:pPr>
        <w:pStyle w:val="7"/>
        <w:spacing w:line="500" w:lineRule="exact"/>
        <w:ind w:firstLine="527"/>
        <w:jc w:val="both"/>
        <w:rPr>
          <w:rFonts w:ascii="仿宋_GB2312" w:eastAsia="仿宋_GB2312"/>
          <w:sz w:val="32"/>
          <w:szCs w:val="32"/>
        </w:rPr>
      </w:pPr>
      <w:r>
        <w:rPr>
          <w:rFonts w:hint="eastAsia" w:ascii="仿宋_GB2312" w:eastAsia="仿宋_GB2312"/>
          <w:sz w:val="32"/>
          <w:szCs w:val="32"/>
        </w:rPr>
        <w:t>绩效评价对象包括本项目及与本项目有关的各个实体。</w:t>
      </w:r>
    </w:p>
    <w:p>
      <w:pPr>
        <w:pStyle w:val="7"/>
        <w:spacing w:line="500" w:lineRule="exact"/>
        <w:ind w:firstLine="527"/>
        <w:jc w:val="both"/>
        <w:rPr>
          <w:rFonts w:ascii="仿宋_GB2312" w:eastAsia="仿宋_GB2312"/>
          <w:sz w:val="32"/>
          <w:szCs w:val="32"/>
        </w:rPr>
      </w:pPr>
      <w:r>
        <w:rPr>
          <w:rFonts w:hint="eastAsia" w:ascii="仿宋_GB2312" w:eastAsia="仿宋_GB2312"/>
          <w:sz w:val="32"/>
          <w:szCs w:val="32"/>
        </w:rPr>
        <w:t>绩效评价的范围包括与本项目有关的全部资料。</w:t>
      </w:r>
    </w:p>
    <w:p>
      <w:pPr>
        <w:pStyle w:val="7"/>
        <w:spacing w:line="500" w:lineRule="exact"/>
        <w:ind w:firstLine="527"/>
        <w:jc w:val="both"/>
        <w:rPr>
          <w:rFonts w:ascii="仿宋_GB2312" w:eastAsia="仿宋_GB2312" w:cs="宋体"/>
          <w:kern w:val="0"/>
          <w:sz w:val="32"/>
          <w:szCs w:val="32"/>
        </w:rPr>
      </w:pPr>
      <w:r>
        <w:rPr>
          <w:rFonts w:hint="eastAsia" w:ascii="仿宋_GB2312" w:eastAsia="仿宋_GB2312"/>
          <w:sz w:val="32"/>
          <w:szCs w:val="32"/>
        </w:rPr>
        <w:t>本次评价遵循目标导向性原则、科学客观性原则和公平公正性原则。根据《河北省政府专项债券项目资金绩效管理办法》（冀财债〔2021〕41 号）、《秦皇岛市新增政府债券资金和项目绩效管理办法》（秦财债（2020）606号）、《秦皇岛市新增政府债券资金和项目绩效管理办法》（秦财债（2021）434号）等相关文件和秦皇岛市财政局的其他要求，</w:t>
      </w:r>
      <w:r>
        <w:rPr>
          <w:rFonts w:hint="eastAsia" w:ascii="仿宋_GB2312" w:eastAsia="仿宋_GB2312" w:cs="宋体"/>
          <w:kern w:val="0"/>
          <w:sz w:val="32"/>
          <w:szCs w:val="32"/>
        </w:rPr>
        <w:t>评估工作组</w:t>
      </w:r>
      <w:r>
        <w:rPr>
          <w:rFonts w:hint="eastAsia" w:ascii="仿宋_GB2312" w:eastAsia="仿宋_GB2312"/>
          <w:sz w:val="32"/>
          <w:szCs w:val="32"/>
        </w:rPr>
        <w:t>结合项目特点，形成了项目绩效评价指标体系，并通过现场</w:t>
      </w:r>
      <w:r>
        <w:rPr>
          <w:rFonts w:hint="eastAsia" w:ascii="仿宋_GB2312" w:eastAsia="仿宋_GB2312"/>
          <w:sz w:val="32"/>
          <w:szCs w:val="32"/>
          <w:lang w:val="en-US" w:eastAsia="zh-CN"/>
        </w:rPr>
        <w:t>检查</w:t>
      </w:r>
      <w:r>
        <w:rPr>
          <w:rFonts w:hint="eastAsia" w:ascii="仿宋_GB2312" w:eastAsia="仿宋_GB2312"/>
          <w:sz w:val="32"/>
          <w:szCs w:val="32"/>
        </w:rPr>
        <w:t>，搜集相关工程资料等方式评议和打分。</w:t>
      </w:r>
      <w:r>
        <w:rPr>
          <w:rFonts w:hint="eastAsia" w:ascii="仿宋_GB2312" w:eastAsia="仿宋_GB2312" w:cs="宋体"/>
          <w:kern w:val="0"/>
          <w:sz w:val="32"/>
          <w:szCs w:val="32"/>
        </w:rPr>
        <w:t>具体列示如下：</w:t>
      </w:r>
    </w:p>
    <w:p>
      <w:pPr>
        <w:adjustRightInd w:val="0"/>
        <w:snapToGrid w:val="0"/>
        <w:spacing w:line="50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1、决策绩效情况：</w:t>
      </w:r>
      <w:r>
        <w:rPr>
          <w:rFonts w:ascii="仿宋_GB2312" w:eastAsia="仿宋_GB2312" w:cs="宋体"/>
          <w:kern w:val="0"/>
          <w:sz w:val="32"/>
          <w:szCs w:val="32"/>
        </w:rPr>
        <w:t>项目决策类指标权重为16分，得分为</w:t>
      </w:r>
      <w:r>
        <w:rPr>
          <w:rFonts w:hint="eastAsia" w:ascii="仿宋_GB2312" w:eastAsia="仿宋_GB2312" w:cs="宋体"/>
          <w:kern w:val="0"/>
          <w:sz w:val="32"/>
          <w:szCs w:val="32"/>
        </w:rPr>
        <w:t>10.5</w:t>
      </w:r>
      <w:r>
        <w:rPr>
          <w:rFonts w:ascii="仿宋_GB2312" w:eastAsia="仿宋_GB2312" w:cs="宋体"/>
          <w:kern w:val="0"/>
          <w:sz w:val="32"/>
          <w:szCs w:val="32"/>
        </w:rPr>
        <w:t>分</w:t>
      </w:r>
      <w:r>
        <w:rPr>
          <w:rFonts w:hint="eastAsia" w:ascii="仿宋_GB2312" w:eastAsia="仿宋_GB2312" w:cs="宋体"/>
          <w:kern w:val="0"/>
          <w:sz w:val="32"/>
          <w:szCs w:val="32"/>
        </w:rPr>
        <w:t>。本项目在立项批复情况方面整体表现较好，但部分编报材料有待改善。本项目勘察设计等各项工作均顺利开展，但部分工作开展不及时。本项目符合专项债券支持领域和方向，属于国家重点支出的领域。本项目在预算编制、债务额度和编报材料方面存在问题。本项目绩效目标、指标编制情况有待提高。</w:t>
      </w:r>
    </w:p>
    <w:p>
      <w:pPr>
        <w:adjustRightInd w:val="0"/>
        <w:snapToGrid w:val="0"/>
        <w:spacing w:line="50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2、过程绩效情况：项目过程类指标权重为24分，得分为15分。本项目在专项债券收支、还本付息及专项收入纳入政府性基金预算管理情况方面没有异常。本项目债券资金实际按用途使用情况较好。本项目资金拨付和支出进度与项目建设进度匹配情况未见异常，但项目实际开工日期为2021年9月。本项目以前年度还本付息方案执行情况较好。本项目收入、成本和预期收益不够合理。本项目年度收支平衡或项目全生命周期预期收益与专项债券规模匹配情况、专项债券期限与项目期限匹配情况有待改进。本项目专项债券项目信息公开情况未见异常。本项目能够积极对发现的问题进行整改，但部分整改措施的效果有待进一步加强。本项目信息系统管理使用情况未见异常。本项目在其他财务、采购和管理情况方面整体表现较好，但项目资料归档和相关管理制度方面存在改进空间。</w:t>
      </w:r>
    </w:p>
    <w:p>
      <w:pPr>
        <w:adjustRightInd w:val="0"/>
        <w:snapToGrid w:val="0"/>
        <w:spacing w:line="50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3、产出绩效情况：项目产出类指标权重为40分，得分为39分。本项目已完成的各分项整体观感质量较好。本项目完工时效性较好，但项目开工不及时。截至评价时点，本项目建筑工程成本、各类费用未超出预算限额和合同约定价款。本项目不存在债券资金闲置的问题。本项目建成后，提供公共产品和服务情况能够达到既定要求。</w:t>
      </w:r>
    </w:p>
    <w:p>
      <w:pPr>
        <w:adjustRightInd w:val="0"/>
        <w:snapToGrid w:val="0"/>
        <w:spacing w:line="50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4、效益绩效情况：项目效益类指标权重为20分，得分为18.5分。建设期间，本项目有助于降低感染风险、促进上游产业发展、合理利用闲置土地。建设完成后，本项目预计有助于改善市三院医疗条件、吸引医疗行业企业投资、完善重大疾病控制体系。但是，本项目仍需进一步安排资金投入，对后续政策的依赖程度较高，需要一系列配套工作的支持。</w:t>
      </w:r>
    </w:p>
    <w:p>
      <w:pPr>
        <w:spacing w:line="500" w:lineRule="exact"/>
        <w:ind w:firstLine="643" w:firstLineChars="200"/>
        <w:rPr>
          <w:rFonts w:ascii="仿宋_GB2312" w:eastAsia="仿宋_GB2312"/>
          <w:b/>
          <w:bCs/>
          <w:sz w:val="32"/>
          <w:szCs w:val="32"/>
        </w:rPr>
      </w:pPr>
      <w:r>
        <w:rPr>
          <w:rFonts w:hint="eastAsia" w:ascii="仿宋_GB2312" w:eastAsia="仿宋_GB2312" w:cs="宋体"/>
          <w:b/>
          <w:kern w:val="0"/>
          <w:sz w:val="32"/>
          <w:szCs w:val="32"/>
        </w:rPr>
        <w:t>三、</w:t>
      </w:r>
      <w:r>
        <w:rPr>
          <w:rFonts w:hint="eastAsia" w:ascii="仿宋_GB2312" w:eastAsia="仿宋_GB2312"/>
          <w:b/>
          <w:bCs/>
          <w:sz w:val="32"/>
          <w:szCs w:val="32"/>
        </w:rPr>
        <w:t>存在的问题及建议</w:t>
      </w:r>
    </w:p>
    <w:p>
      <w:pPr>
        <w:spacing w:line="500" w:lineRule="exact"/>
        <w:ind w:firstLine="562"/>
        <w:rPr>
          <w:rFonts w:ascii="仿宋_GB2312" w:eastAsia="仿宋_GB2312"/>
          <w:bCs/>
          <w:sz w:val="32"/>
          <w:szCs w:val="32"/>
        </w:rPr>
      </w:pPr>
      <w:r>
        <w:rPr>
          <w:rFonts w:hint="eastAsia" w:ascii="仿宋_GB2312" w:eastAsia="仿宋_GB2312"/>
          <w:bCs/>
          <w:sz w:val="32"/>
          <w:szCs w:val="32"/>
        </w:rPr>
        <w:t>我们在评价过程中重点对项目的组织、申报、审核情况以及项目的合理合规性、财政资金分配及使用情况、项目中期绩效等进行了重点考评。程序较规范合理，项目绩效较好，但仍存在一些问题：</w:t>
      </w:r>
    </w:p>
    <w:p>
      <w:pPr>
        <w:adjustRightInd w:val="0"/>
        <w:snapToGrid w:val="0"/>
        <w:spacing w:line="500" w:lineRule="exact"/>
        <w:ind w:firstLine="643" w:firstLineChars="200"/>
        <w:rPr>
          <w:rFonts w:ascii="仿宋_GB2312" w:eastAsia="仿宋_GB2312" w:cs="宋体"/>
          <w:b/>
          <w:kern w:val="0"/>
          <w:sz w:val="32"/>
          <w:szCs w:val="32"/>
        </w:rPr>
      </w:pPr>
      <w:r>
        <w:rPr>
          <w:rFonts w:hint="eastAsia" w:ascii="仿宋_GB2312" w:eastAsia="仿宋_GB2312" w:cs="宋体"/>
          <w:b/>
          <w:kern w:val="0"/>
          <w:sz w:val="32"/>
          <w:szCs w:val="32"/>
        </w:rPr>
        <w:t>（一）存在的问题</w:t>
      </w:r>
    </w:p>
    <w:p>
      <w:pPr>
        <w:adjustRightInd w:val="0"/>
        <w:snapToGrid w:val="0"/>
        <w:spacing w:line="500" w:lineRule="exact"/>
        <w:ind w:firstLine="640" w:firstLineChars="200"/>
        <w:rPr>
          <w:rFonts w:ascii="仿宋_GB2312" w:eastAsia="仿宋_GB2312" w:cs="宋体"/>
          <w:bCs/>
          <w:kern w:val="0"/>
          <w:sz w:val="32"/>
          <w:szCs w:val="32"/>
        </w:rPr>
      </w:pPr>
      <w:r>
        <w:rPr>
          <w:rFonts w:hint="eastAsia" w:ascii="仿宋_GB2312" w:eastAsia="仿宋_GB2312" w:cs="宋体"/>
          <w:bCs/>
          <w:kern w:val="0"/>
          <w:sz w:val="32"/>
          <w:szCs w:val="32"/>
        </w:rPr>
        <w:t>1、医院科研教学、预防保健及大型设备费用</w:t>
      </w:r>
      <w:r>
        <w:rPr>
          <w:rFonts w:hint="eastAsia" w:ascii="仿宋_GB2312" w:eastAsia="仿宋_GB2312"/>
          <w:sz w:val="32"/>
          <w:szCs w:val="32"/>
        </w:rPr>
        <w:t>5,106.00万元</w:t>
      </w:r>
      <w:r>
        <w:rPr>
          <w:rFonts w:hint="eastAsia" w:ascii="仿宋_GB2312" w:eastAsia="仿宋_GB2312" w:cs="宋体"/>
          <w:bCs/>
          <w:kern w:val="0"/>
          <w:sz w:val="32"/>
          <w:szCs w:val="32"/>
        </w:rPr>
        <w:t>尚未落实。</w:t>
      </w:r>
    </w:p>
    <w:p>
      <w:pPr>
        <w:adjustRightInd w:val="0"/>
        <w:snapToGrid w:val="0"/>
        <w:spacing w:line="500" w:lineRule="exact"/>
        <w:ind w:firstLine="640" w:firstLineChars="200"/>
        <w:rPr>
          <w:rFonts w:ascii="仿宋_GB2312" w:eastAsia="仿宋_GB2312" w:cs="宋体"/>
          <w:bCs/>
          <w:kern w:val="0"/>
          <w:sz w:val="32"/>
          <w:szCs w:val="32"/>
        </w:rPr>
      </w:pPr>
      <w:r>
        <w:rPr>
          <w:rFonts w:hint="eastAsia" w:ascii="仿宋_GB2312" w:eastAsia="仿宋_GB2312" w:cs="宋体"/>
          <w:bCs/>
          <w:kern w:val="0"/>
          <w:sz w:val="32"/>
          <w:szCs w:val="32"/>
        </w:rPr>
        <w:t>2、项目资本金到位率偏低，</w:t>
      </w:r>
      <w:r>
        <w:rPr>
          <w:rFonts w:hint="eastAsia" w:ascii="仿宋_GB2312" w:eastAsia="仿宋_GB2312" w:cs="宋体"/>
          <w:kern w:val="0"/>
          <w:sz w:val="32"/>
          <w:szCs w:val="32"/>
        </w:rPr>
        <w:t>仅为1.83%</w:t>
      </w:r>
      <w:r>
        <w:rPr>
          <w:rFonts w:hint="eastAsia" w:ascii="仿宋_GB2312" w:eastAsia="仿宋_GB2312" w:cs="宋体"/>
          <w:bCs/>
          <w:kern w:val="0"/>
          <w:sz w:val="32"/>
          <w:szCs w:val="32"/>
        </w:rPr>
        <w:t>。</w:t>
      </w:r>
    </w:p>
    <w:p>
      <w:pPr>
        <w:adjustRightInd w:val="0"/>
        <w:snapToGrid w:val="0"/>
        <w:spacing w:line="500" w:lineRule="exact"/>
        <w:ind w:firstLine="640" w:firstLineChars="200"/>
        <w:rPr>
          <w:rFonts w:ascii="仿宋_GB2312" w:eastAsia="仿宋_GB2312" w:cs="宋体"/>
          <w:bCs/>
          <w:kern w:val="0"/>
          <w:sz w:val="32"/>
          <w:szCs w:val="32"/>
        </w:rPr>
      </w:pPr>
      <w:r>
        <w:rPr>
          <w:rFonts w:hint="eastAsia" w:ascii="仿宋_GB2312" w:eastAsia="仿宋_GB2312" w:cs="宋体"/>
          <w:bCs/>
          <w:kern w:val="0"/>
          <w:sz w:val="32"/>
          <w:szCs w:val="32"/>
        </w:rPr>
        <w:t>3、项目还本付息压力较大。</w:t>
      </w:r>
      <w:r>
        <w:rPr>
          <w:rFonts w:hint="eastAsia" w:ascii="仿宋_GB2312" w:eastAsia="仿宋_GB2312"/>
          <w:sz w:val="32"/>
          <w:szCs w:val="32"/>
        </w:rPr>
        <w:t>专项债券还本付息金额占一般公共预算收入额的比例较高。项目运营期间，本项目难以</w:t>
      </w:r>
      <w:r>
        <w:rPr>
          <w:rFonts w:hint="eastAsia" w:ascii="仿宋_GB2312" w:eastAsia="仿宋_GB2312"/>
          <w:sz w:val="32"/>
          <w:szCs w:val="32"/>
          <w:lang w:val="en-US" w:eastAsia="zh-CN"/>
        </w:rPr>
        <w:t>实现盈亏平衡</w:t>
      </w:r>
      <w:r>
        <w:rPr>
          <w:rFonts w:hint="eastAsia" w:ascii="仿宋_GB2312" w:eastAsia="仿宋_GB2312"/>
          <w:sz w:val="32"/>
          <w:szCs w:val="32"/>
        </w:rPr>
        <w:t>。市三院目前尚有欠款15,087.79万元，偿债压力较大。</w:t>
      </w:r>
    </w:p>
    <w:p>
      <w:pPr>
        <w:adjustRightInd w:val="0"/>
        <w:snapToGrid w:val="0"/>
        <w:spacing w:line="500" w:lineRule="exact"/>
        <w:ind w:firstLine="640" w:firstLineChars="200"/>
        <w:rPr>
          <w:rFonts w:ascii="仿宋_GB2312" w:eastAsia="仿宋_GB2312" w:cs="宋体"/>
          <w:bCs/>
          <w:kern w:val="0"/>
          <w:sz w:val="32"/>
          <w:szCs w:val="32"/>
        </w:rPr>
      </w:pPr>
      <w:r>
        <w:rPr>
          <w:rFonts w:hint="eastAsia" w:ascii="仿宋_GB2312" w:eastAsia="仿宋_GB2312" w:cs="宋体"/>
          <w:bCs/>
          <w:kern w:val="0"/>
          <w:sz w:val="32"/>
          <w:szCs w:val="32"/>
        </w:rPr>
        <w:t>4、项目立项、实施阶段部分工作需要改进，主要包括前期调研和进度质量控制。</w:t>
      </w:r>
    </w:p>
    <w:p>
      <w:pPr>
        <w:adjustRightInd w:val="0"/>
        <w:snapToGrid w:val="0"/>
        <w:spacing w:line="500" w:lineRule="exact"/>
        <w:ind w:firstLine="643" w:firstLineChars="200"/>
        <w:rPr>
          <w:rFonts w:ascii="仿宋_GB2312" w:eastAsia="仿宋_GB2312" w:cs="宋体"/>
          <w:b/>
          <w:kern w:val="0"/>
          <w:sz w:val="32"/>
          <w:szCs w:val="32"/>
        </w:rPr>
      </w:pPr>
      <w:r>
        <w:rPr>
          <w:rFonts w:hint="eastAsia" w:ascii="仿宋_GB2312" w:eastAsia="仿宋_GB2312" w:cs="宋体"/>
          <w:b/>
          <w:kern w:val="0"/>
          <w:sz w:val="32"/>
          <w:szCs w:val="32"/>
        </w:rPr>
        <w:t>（二）有关建议</w:t>
      </w:r>
    </w:p>
    <w:p>
      <w:pPr>
        <w:adjustRightInd w:val="0"/>
        <w:snapToGrid w:val="0"/>
        <w:spacing w:line="50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1、市三院应及时向市政府提出资金申请，确保所需设备能够及时到位。本项目应创新投入思路与方法，降低政府投资成本。资金获批后，市三院应当按照“严格管控、降低成本”的原则，及时安排设备采购。</w:t>
      </w:r>
    </w:p>
    <w:p>
      <w:pPr>
        <w:adjustRightInd w:val="0"/>
        <w:snapToGrid w:val="0"/>
        <w:spacing w:line="50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2、市三院应及时向市政府反映项目资本金到位率方面的问题，尽快筹措足额的资本金。项目单位应与金融机构、合作方、监管部门等保持良好的沟通和协调。</w:t>
      </w:r>
    </w:p>
    <w:p>
      <w:pPr>
        <w:adjustRightInd w:val="0"/>
        <w:snapToGrid w:val="0"/>
        <w:spacing w:line="50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3、市三院应当提升医院业务水平和收入能力，增加现金流入。市三院应压缩不必要的支出和费用，减少现金流出。市三院还应当盘活闲置的资产和资源。市三院应加强沟通协调，争取获得更多的政策支持。市三院应进一步完善欠款管理机制，尽快还清欠款。</w:t>
      </w:r>
    </w:p>
    <w:p>
      <w:pPr>
        <w:adjustRightInd w:val="0"/>
        <w:snapToGrid w:val="0"/>
        <w:spacing w:line="50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4、项目单位应当严格按照法定程序申请和取得各种许可证、开展各项工作。项目前期调查工作应当充分到位，以便减少实施过程中的变更。项目建设期间应进一步完善合同和档案管理。</w:t>
      </w:r>
    </w:p>
    <w:p>
      <w:pPr>
        <w:rPr>
          <w:rFonts w:ascii="方正小标宋简体" w:eastAsia="方正小标宋简体" w:cs="宋体"/>
          <w:b/>
          <w:bCs/>
          <w:kern w:val="0"/>
          <w:sz w:val="32"/>
          <w:szCs w:val="32"/>
        </w:rPr>
      </w:pP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8750" cy="177800"/>
              <wp:effectExtent l="0" t="0" r="0" b="0"/>
              <wp:wrapNone/>
              <wp:docPr id="1" name="文本框 1 3"/>
              <wp:cNvGraphicFramePr/>
              <a:graphic xmlns:a="http://schemas.openxmlformats.org/drawingml/2006/main">
                <a:graphicData uri="http://schemas.microsoft.com/office/word/2010/wordprocessingShape">
                  <wps:wsp>
                    <wps:cNvSpPr txBox="1"/>
                    <wps:spPr>
                      <a:xfrm>
                        <a:off x="0" y="0"/>
                        <a:ext cx="158750" cy="177800"/>
                      </a:xfrm>
                      <a:prstGeom prst="rect">
                        <a:avLst/>
                      </a:prstGeom>
                      <a:noFill/>
                      <a:ln w="6350">
                        <a:noFill/>
                      </a:ln>
                    </wps:spPr>
                    <wps:txbx>
                      <w:txbxContent>
                        <w:p>
                          <w:pPr>
                            <w:pStyle w:val="7"/>
                          </w:pPr>
                          <w:r>
                            <w:fldChar w:fldCharType="begin"/>
                          </w:r>
                          <w:r>
                            <w:instrText xml:space="preserve"> PAGE  \* MERGEFORMAT </w:instrText>
                          </w:r>
                          <w:r>
                            <w:fldChar w:fldCharType="separate"/>
                          </w:r>
                          <w:r>
                            <w:t>5</w:t>
                          </w:r>
                          <w:r>
                            <w:fldChar w:fldCharType="end"/>
                          </w:r>
                        </w:p>
                      </w:txbxContent>
                    </wps:txbx>
                    <wps:bodyPr lIns="0" tIns="0" rIns="0" bIns="0" upright="1"/>
                  </wps:wsp>
                </a:graphicData>
              </a:graphic>
            </wp:anchor>
          </w:drawing>
        </mc:Choice>
        <mc:Fallback>
          <w:pict>
            <v:shape id="文本框 1 3" o:spid="_x0000_s1026" o:spt="202" type="#_x0000_t202" style="position:absolute;left:0pt;margin-top:0pt;height:14pt;width:12.5pt;mso-position-horizontal:center;mso-position-horizontal-relative:margin;z-index:251659264;mso-width-relative:page;mso-height-relative:page;" filled="f" stroked="f" coordsize="21600,21600" o:gfxdata="UEsDBAoAAAAAAIdO4kAAAAAAAAAAAAAAAAAEAAAAZHJzL1BLAwQUAAAACACHTuJAd+Ox4dIAAAAD&#10;AQAADwAAAGRycy9kb3ducmV2LnhtbE2PS0/DMBCE70j8B2uRuFE7lUBVGqcHHjeeBaRyc2KTRNjr&#10;yN6k5d+zcCmXXY1mNftNtTkEL2aX8hBRQ7FQIBy20Q7YaXh7vbtYgchk0Bof0Wn4dhk29elJZUob&#10;9/ji5i11gkMwl0ZDTzSWUua2d8HkRRwdsvcZUzDEMnXSJrPn8ODlUqkrGcyA/KE3o7vuXfu1nYIG&#10;v8vpvlH0Md90D/T8JKf32+JR6/OzQq1BkDvQ8Rh+8RkdamZq4oQ2C6+Bi9DfZG95yarhvVIg60r+&#10;Z69/AFBLAwQUAAAACACHTuJAnw/6vsIBAAB8AwAADgAAAGRycy9lMm9Eb2MueG1srVNLbtswEN0X&#10;yB0I7mvJCRIbguUAhZGgQNEWSHMAmqIsAiSHGNKWfIH2Bl11033P5XN0SMvOp5ssuqGG83kz7w21&#10;uB2sYTuFQYOr+XRScqachEa7Tc0fv929n3MWonCNMOBUzfcq8NvlxbtF7yt1CR2YRiEjEBeq3te8&#10;i9FXRRFkp6wIE/DKUbAFtCLSFTdFg6IndGuKy7K8KXrAxiNIFQJ5V8cgHxHxLYDQtlqqFcitVS4e&#10;UVEZEYlS6LQPfJmnbVsl45e2DSoyU3NiGvNJTchep7NYLkS1QeE7LccRxFtGeMXJCu2o6RlqJaJg&#10;W9T/QFktEQK0cSLBFkciWRFiMS1fafPQCa8yF5I6+LPo4f/Bys+7r8h0Qy+BMycsLfzw88fh15/D&#10;7+9syq6SQL0PFeU9eMqMwwcYUvLoD+RMvIcWbfoSI0Zxknd/llcNkclUdD2fXVNEUmg6m83LLH/x&#10;VOwxxHsFliWj5kjby6KK3acQqSGlnlJSLwd32pi8QeNYX/ObK4J/EaEK46gwUTiOmqw4rIdx/jU0&#10;e6JlPjoSNT2Qk4EnY30yth71pqO5MvkMSUvJU40PKG39+T03fvpp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Ox4dIAAAADAQAADwAAAAAAAAABACAAAAAiAAAAZHJzL2Rvd25yZXYueG1sUEsB&#10;AhQAFAAAAAgAh07iQJ8P+r7CAQAAfAMAAA4AAAAAAAAAAQAgAAAAIQEAAGRycy9lMm9Eb2MueG1s&#10;UEsFBgAAAAAGAAYAWQEAAFUFAAAAAA==&#10;">
              <v:fill on="f" focussize="0,0"/>
              <v:stroke on="f" weight="0.5pt"/>
              <v:imagedata o:title=""/>
              <o:lock v:ext="edit" aspectratio="f"/>
              <v:textbox inset="0mm,0mm,0mm,0mm">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ZTJmNjRmZjUyMjM2ZTg0NGNlZjZmNTBjMDk0YTgifQ=="/>
  </w:docVars>
  <w:rsids>
    <w:rsidRoot w:val="0031432B"/>
    <w:rsid w:val="00086093"/>
    <w:rsid w:val="0031432B"/>
    <w:rsid w:val="00774DB7"/>
    <w:rsid w:val="0092162C"/>
    <w:rsid w:val="00B4006D"/>
    <w:rsid w:val="00EA41EC"/>
    <w:rsid w:val="29F74A66"/>
    <w:rsid w:val="3EA95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Body Text"/>
    <w:basedOn w:val="1"/>
    <w:uiPriority w:val="0"/>
    <w:pPr>
      <w:autoSpaceDE w:val="0"/>
      <w:autoSpaceDN w:val="0"/>
      <w:jc w:val="left"/>
    </w:pPr>
    <w:rPr>
      <w:rFonts w:ascii="仿宋_GB2312" w:eastAsia="仿宋_GB2312"/>
      <w:kern w:val="0"/>
      <w:sz w:val="24"/>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tabs>
        <w:tab w:val="center" w:pos="4153"/>
        <w:tab w:val="right" w:pos="8306"/>
      </w:tabs>
      <w:snapToGrid w:val="0"/>
    </w:pPr>
    <w:rPr>
      <w:sz w:val="18"/>
    </w:rPr>
  </w:style>
  <w:style w:type="paragraph" w:styleId="9">
    <w:name w:val="annotation subject"/>
    <w:basedOn w:val="5"/>
    <w:next w:val="5"/>
    <w:uiPriority w:val="0"/>
    <w:rPr>
      <w:b/>
      <w:bCs/>
    </w:rPr>
  </w:style>
  <w:style w:type="paragraph" w:styleId="10">
    <w:name w:val="Body Text First Indent 2"/>
    <w:basedOn w:val="1"/>
    <w:next w:val="1"/>
    <w:uiPriority w:val="0"/>
    <w:pPr>
      <w:ind w:firstLine="200" w:firstLineChars="200"/>
    </w:pPr>
    <w:rPr>
      <w:kern w:val="0"/>
      <w:sz w:val="24"/>
      <w:szCs w:val="20"/>
      <w:lang w:val="zh-CN"/>
    </w:rPr>
  </w:style>
  <w:style w:type="character" w:styleId="13">
    <w:name w:val="annotation reference"/>
    <w:basedOn w:val="12"/>
    <w:uiPriority w:val="0"/>
    <w:rPr>
      <w:sz w:val="21"/>
      <w:szCs w:val="21"/>
    </w:rPr>
  </w:style>
  <w:style w:type="character" w:customStyle="1" w:styleId="14">
    <w:name w:val="font11"/>
    <w:basedOn w:val="12"/>
    <w:uiPriority w:val="0"/>
    <w:rPr>
      <w:rFonts w:ascii="仿宋_GB2312" w:eastAsia="仿宋_GB2312" w:cs="仿宋_GB2312"/>
      <w:color w:val="000000"/>
      <w:sz w:val="22"/>
      <w:szCs w:val="22"/>
      <w:u w:val="none"/>
    </w:rPr>
  </w:style>
  <w:style w:type="paragraph" w:customStyle="1" w:styleId="15">
    <w:name w:val="Table Paragraph"/>
    <w:basedOn w:val="1"/>
    <w:uiPriority w:val="0"/>
    <w:pPr>
      <w:autoSpaceDE w:val="0"/>
      <w:autoSpaceDN w:val="0"/>
      <w:jc w:val="center"/>
    </w:pPr>
    <w:rPr>
      <w:rFonts w:ascii="仿宋_GB2312" w:eastAsia="仿宋_GB2312" w:cs="仿宋_GB2312"/>
      <w:kern w:val="0"/>
      <w:sz w:val="22"/>
      <w:szCs w:val="22"/>
    </w:rPr>
  </w:style>
  <w:style w:type="paragraph" w:customStyle="1" w:styleId="16">
    <w:name w:val="修订1"/>
    <w:uiPriority w:val="0"/>
    <w:rPr>
      <w:rFonts w:ascii="Times New Roman" w:hAnsi="Times New Roman" w:eastAsia="宋体" w:cs="Times New Roman"/>
      <w:kern w:val="2"/>
      <w:sz w:val="21"/>
      <w:szCs w:val="24"/>
      <w:lang w:val="en-US" w:eastAsia="zh-CN" w:bidi="ar-SA"/>
    </w:rPr>
  </w:style>
  <w:style w:type="paragraph" w:styleId="17">
    <w:name w:val="List Paragraph"/>
    <w:basedOn w:val="1"/>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459</Words>
  <Characters>2620</Characters>
  <Lines>21</Lines>
  <Paragraphs>6</Paragraphs>
  <TotalTime>26</TotalTime>
  <ScaleCrop>false</ScaleCrop>
  <LinksUpToDate>false</LinksUpToDate>
  <CharactersWithSpaces>3073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2023-10-10T04:03:00Z</dcterms:created>
  <dc:creator>赵健成</dc:creator>
  <cp:lastModifiedBy>赵健成</cp:lastModifiedBy>
  <dcterms:modified xsi:type="dcterms:W3CDTF">2023-11-06T02:32:48Z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300CCFA08E9F4015AC8476E84172FC2E_13</vt:lpwstr>
  </property>
</Properties>
</file>