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outlineLvl w:val="0"/>
        <w:rPr>
          <w:rFonts w:hint="eastAsia" w:ascii="方正小标宋简体" w:eastAsia="方正小标宋简体" w:cs="仿宋_GB2312"/>
          <w:b/>
          <w:sz w:val="36"/>
          <w:szCs w:val="36"/>
          <w:highlight w:val="none"/>
        </w:rPr>
      </w:pPr>
      <w:bookmarkStart w:id="0" w:name="_Toc3434"/>
      <w:bookmarkStart w:id="1" w:name="_Toc16515"/>
      <w:r>
        <w:rPr>
          <w:rFonts w:hint="eastAsia" w:ascii="方正小标宋简体" w:eastAsia="方正小标宋简体" w:cs="仿宋_GB2312"/>
          <w:b/>
          <w:sz w:val="36"/>
          <w:szCs w:val="36"/>
          <w:highlight w:val="none"/>
        </w:rPr>
        <w:t>秦皇岛市2022年度机关事业单位养老保险基金项目支出绩效评价报告（简版）</w:t>
      </w:r>
    </w:p>
    <w:p>
      <w:pPr>
        <w:pStyle w:val="2"/>
        <w:rPr>
          <w:rFonts w:hint="eastAsia"/>
        </w:rPr>
      </w:pPr>
      <w:bookmarkStart w:id="19" w:name="_GoBack"/>
      <w:bookmarkEnd w:id="19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highlight w:val="none"/>
        </w:rPr>
        <w:t>为进一步规范和加强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机关事业养老保险基金</w:t>
      </w:r>
      <w:r>
        <w:rPr>
          <w:rFonts w:hint="eastAsia" w:ascii="仿宋_GB2312" w:eastAsia="仿宋_GB2312" w:cs="仿宋_GB2312"/>
          <w:sz w:val="28"/>
          <w:szCs w:val="28"/>
          <w:highlight w:val="none"/>
        </w:rPr>
        <w:t>项目管理，提高财政资金使用效益，受</w:t>
      </w:r>
      <w:r>
        <w:rPr>
          <w:rFonts w:hint="eastAsia" w:ascii="仿宋_GB2312" w:eastAsia="仿宋_GB2312" w:cs="仿宋"/>
          <w:sz w:val="28"/>
          <w:szCs w:val="28"/>
          <w:highlight w:val="none"/>
          <w:lang w:val="en-US" w:eastAsia="zh-CN"/>
        </w:rPr>
        <w:t>秦皇岛市财政支出绩效评价中心</w:t>
      </w:r>
      <w:r>
        <w:rPr>
          <w:rFonts w:hint="eastAsia" w:ascii="仿宋_GB2312" w:eastAsia="仿宋_GB2312" w:cs="仿宋_GB2312"/>
          <w:sz w:val="28"/>
          <w:szCs w:val="28"/>
          <w:highlight w:val="none"/>
        </w:rPr>
        <w:t>委托，秦皇岛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中哲</w:t>
      </w:r>
      <w:r>
        <w:rPr>
          <w:rFonts w:hint="eastAsia" w:ascii="仿宋_GB2312" w:eastAsia="仿宋_GB2312" w:cs="仿宋_GB2312"/>
          <w:sz w:val="28"/>
          <w:szCs w:val="28"/>
          <w:highlight w:val="none"/>
        </w:rPr>
        <w:t>会计师事务所</w:t>
      </w:r>
      <w:r>
        <w:rPr>
          <w:rFonts w:hint="eastAsia" w:asci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普通合伙）</w:t>
      </w:r>
      <w:r>
        <w:rPr>
          <w:rFonts w:hint="eastAsia" w:ascii="仿宋_GB2312" w:eastAsia="仿宋_GB2312" w:cs="仿宋_GB2312"/>
          <w:sz w:val="28"/>
          <w:szCs w:val="28"/>
          <w:highlight w:val="none"/>
        </w:rPr>
        <w:t>对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秦皇岛市机关事业单位养老保险中心（以下简称“市机关事业养老保险中心”）2022年</w:t>
      </w:r>
      <w:r>
        <w:rPr>
          <w:rFonts w:ascii="仿宋_GB2312" w:eastAsia="仿宋_GB2312" w:cs="仿宋_GB2312"/>
          <w:sz w:val="28"/>
          <w:szCs w:val="28"/>
          <w:highlight w:val="none"/>
          <w:lang w:val="en-US" w:eastAsia="zh-CN"/>
        </w:rPr>
        <w:t>度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机关事业养老保险中心养老保险基金项目（以下简称“本项目”）进行绩效评价</w:t>
      </w:r>
      <w:r>
        <w:rPr>
          <w:rFonts w:hint="eastAsia" w:ascii="仿宋_GB2312" w:eastAsia="仿宋_GB2312" w:cs="仿宋_GB2312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562" w:firstLineChars="200"/>
        <w:jc w:val="both"/>
        <w:textAlignment w:val="auto"/>
        <w:outlineLvl w:val="1"/>
        <w:rPr>
          <w:rFonts w:hint="eastAsia" w:ascii="仿宋_GB2312" w:eastAsia="仿宋_GB2312" w:cs="仿宋_GB2312"/>
          <w:b/>
          <w:color w:val="000000"/>
          <w:sz w:val="28"/>
          <w:szCs w:val="28"/>
          <w:highlight w:val="none"/>
          <w:lang w:val="en-US" w:eastAsia="zh-CN"/>
        </w:rPr>
      </w:pPr>
      <w:bookmarkStart w:id="2" w:name="_Toc9776"/>
      <w:r>
        <w:rPr>
          <w:rFonts w:ascii="仿宋_GB2312" w:eastAsia="仿宋_GB2312" w:cs="仿宋_GB2312"/>
          <w:b/>
          <w:color w:val="000000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_GB2312" w:eastAsia="仿宋_GB2312" w:cs="仿宋_GB2312"/>
          <w:b/>
          <w:color w:val="000000"/>
          <w:sz w:val="28"/>
          <w:szCs w:val="28"/>
          <w:highlight w:val="none"/>
          <w:lang w:val="en-US" w:eastAsia="zh-CN"/>
        </w:rPr>
        <w:t>项目</w:t>
      </w:r>
      <w:bookmarkEnd w:id="0"/>
      <w:bookmarkEnd w:id="1"/>
      <w:r>
        <w:rPr>
          <w:rFonts w:hint="eastAsia" w:ascii="仿宋_GB2312" w:eastAsia="仿宋_GB2312" w:cs="仿宋_GB2312"/>
          <w:b/>
          <w:color w:val="000000"/>
          <w:sz w:val="28"/>
          <w:szCs w:val="28"/>
          <w:highlight w:val="none"/>
          <w:lang w:val="en-US" w:eastAsia="zh-CN"/>
        </w:rPr>
        <w:t>概况</w:t>
      </w:r>
      <w:bookmarkEnd w:id="2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outlineLvl w:val="2"/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bookmarkStart w:id="3" w:name="_Toc1485"/>
      <w:bookmarkStart w:id="4" w:name="_Toc26833"/>
      <w:bookmarkStart w:id="5" w:name="_Toc13128"/>
      <w:r>
        <w:rPr>
          <w:rFonts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（一）</w:t>
      </w: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项目</w:t>
      </w:r>
      <w:bookmarkEnd w:id="3"/>
      <w:bookmarkEnd w:id="4"/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内容</w:t>
      </w:r>
      <w:bookmarkEnd w:id="5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both"/>
        <w:textAlignment w:val="auto"/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</w:pPr>
      <w:bookmarkStart w:id="6" w:name="_Toc3026"/>
      <w:bookmarkStart w:id="7" w:name="_Toc19735"/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为统筹城乡社会保障体系建设，建立更加公平、可持续的养老保险制度，2014年国务院决定改革机关事业单位工作人员养老保险制度。根据《国务院关于机关事业单位工作人员养老保险制度改革的决定》(国发〔2015〕2号)规定，实行社会统筹与个人账户相结合的基本养老制度。对改革前已退休人员，保持原有待遇并参加今后的待遇调整；对改革后参加工作的人员，通过建立新机制，实施待遇的合理衔接；对改革前参加工作、改革后退休的人员，通过实行过渡性措施，保持待遇水平不降低。改革实施后参加工作、个人缴费年限累计满15年的人员，退休后按月发给基本养老金。改革实施前参加工作、实施后退休累计满15年的人员，按照合理衔接、平稳过渡的原则在发给基础养老金和个人账户养老金的基础上，依据视同缴费年限长短发给过渡性养老金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outlineLvl w:val="2"/>
        <w:rPr>
          <w:rFonts w:hint="eastAsia"/>
          <w:highlight w:val="none"/>
          <w:lang w:val="en-US" w:eastAsia="zh-CN"/>
        </w:rPr>
      </w:pPr>
      <w:bookmarkStart w:id="8" w:name="_Toc1444"/>
      <w:r>
        <w:rPr>
          <w:rFonts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（二）</w:t>
      </w:r>
      <w:r>
        <w:rPr>
          <w:rFonts w:hint="eastAsia" w:asci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项目明细及预算分配</w:t>
      </w:r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市机关事业养老保险中心根据《秦皇岛市财政局关于分配2022年机关事业单位养老保险中央财政补助经费知》（冀财社〔2022〕381号）文件规定的中央财政补助经费支出范围及财政资金年度安排计划，确定本项目的预算分配金额及使用范围。全年项目明细如下：</w:t>
      </w:r>
    </w:p>
    <w:p>
      <w:pPr>
        <w:shd w:val="clear" w:color="auto" w:fill="FFFFFF"/>
        <w:snapToGrid/>
        <w:spacing w:line="500" w:lineRule="exact"/>
        <w:ind w:firstLine="560" w:firstLineChars="200"/>
        <w:rPr>
          <w:rFonts w:hint="eastAsia" w:asci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1.预算批复情况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2022年预算收入总额1,051,090,208.00元，预算总支出1,034,911,002.02元。具体情况如下表：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0"/>
        <w:jc w:val="left"/>
        <w:textAlignment w:val="auto"/>
        <w:rPr>
          <w:rFonts w:hint="eastAsia" w:ascii="仿宋_GB2312" w:eastAsia="仿宋_GB2312" w:cs="仿宋_GB2312"/>
          <w:b/>
          <w:bCs/>
          <w:sz w:val="24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4"/>
          <w:highlight w:val="none"/>
          <w:lang w:val="en-US" w:eastAsia="zh-CN"/>
        </w:rPr>
        <w:t>表1.2022年机关事业单位基本养老保险基金收支预算表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60" w:firstLineChars="200"/>
        <w:jc w:val="right"/>
        <w:textAlignment w:val="auto"/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                         </w:t>
      </w:r>
      <w:r>
        <w:rPr>
          <w:rFonts w:hint="eastAsia" w:ascii="仿宋_GB2312" w:eastAsia="仿宋_GB2312" w:cs="仿宋_GB2312"/>
          <w:sz w:val="22"/>
          <w:szCs w:val="22"/>
          <w:highlight w:val="none"/>
          <w:lang w:val="en-US" w:eastAsia="zh-CN"/>
        </w:rPr>
        <w:t>单位：元</w:t>
      </w:r>
    </w:p>
    <w:tbl>
      <w:tblPr>
        <w:tblStyle w:val="4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2041"/>
        <w:gridCol w:w="2025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调整后预算数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43" w:firstLineChars="400"/>
              <w:textAlignment w:val="auto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2" w:firstLineChars="200"/>
              <w:textAlignment w:val="auto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调整后预算数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一、基本养老保险费收入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525,155,360.78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一、基本养老金支出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805,430,000.68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二、财政补贴收入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209,000,000.00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0"/>
              <w:jc w:val="lef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二、转移支出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11,738,806.00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center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其中：地方财政补贴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209,000,000.00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三、其他支出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372,195.34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三、利息收入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1,000,000.00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center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四、转移收入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21,814,422.13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center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五、其他收入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70,425.09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center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其中：滞纳金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center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本年收入小计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757,040,208.00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本年支出小计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817,541,002.02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六、上级补助收入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294,050,000.00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四、补助下级支出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217,370,000.00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七、下级上解收入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五、上解上级支出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641" w:firstLineChars="304"/>
              <w:jc w:val="lef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本年收入合计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1,051,090,208.00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firstLine="422" w:firstLineChars="200"/>
              <w:jc w:val="left"/>
              <w:textAlignment w:val="auto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本年支出合计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1,034,911,002.02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八、上年结余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45,778,652.92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六、本年收支结余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16,179,205.98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七、年末滚存结余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61,957,858.90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总</w:t>
            </w:r>
            <w:r>
              <w:rPr>
                <w:rFonts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计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1,096,868,860.92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总</w:t>
            </w:r>
            <w:r>
              <w:rPr>
                <w:rFonts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计</w:t>
            </w:r>
          </w:p>
        </w:tc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1,096,868,860.92</w:t>
            </w:r>
          </w:p>
        </w:tc>
      </w:tr>
    </w:tbl>
    <w:p>
      <w:pPr>
        <w:shd w:val="clear" w:color="auto" w:fill="FFFFFF"/>
        <w:snapToGrid/>
        <w:spacing w:line="500" w:lineRule="exact"/>
        <w:ind w:firstLine="560" w:firstLineChars="200"/>
        <w:rPr>
          <w:rFonts w:hint="eastAsia" w:asci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2.实际收支及结余情况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市机关事业养老保险中心2022年度机关事业单位基本养老保险基金决算收入总额1,058,573,319.30元，决算支出总额1,026,506,933.74元。其中：基本养老金支出806,451,198.05元,其他支出380,838.84元，转移支出2,304,896.85元。当年收支结余</w:t>
      </w:r>
      <w:r>
        <w:rPr>
          <w:rFonts w:hint="eastAsia" w:ascii="仿宋_GB2312" w:eastAsia="仿宋_GB2312" w:cs="仿宋_GB2312"/>
          <w:sz w:val="28"/>
          <w:szCs w:val="28"/>
          <w:highlight w:val="none"/>
          <w:shd w:val="clear" w:color="auto" w:fill="auto"/>
          <w:lang w:val="en-US" w:eastAsia="zh-CN"/>
        </w:rPr>
        <w:t>32,066,385,56元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，年末滚存结余77,845,038.48元。</w:t>
      </w:r>
    </w:p>
    <w:p>
      <w:pPr>
        <w:pStyle w:val="2"/>
        <w:shd w:val="clear" w:color="auto" w:fill="FFFFFF"/>
        <w:spacing w:line="260" w:lineRule="exact"/>
        <w:jc w:val="center"/>
        <w:rPr>
          <w:rFonts w:hint="eastAsia" w:ascii="仿宋_GB2312" w:eastAsia="仿宋_GB2312" w:cs="仿宋_GB2312"/>
          <w:kern w:val="2"/>
          <w:sz w:val="24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kern w:val="2"/>
          <w:sz w:val="24"/>
          <w:highlight w:val="none"/>
          <w:lang w:val="en-US" w:eastAsia="zh-CN" w:bidi="ar-SA"/>
        </w:rPr>
        <w:t>表2.机关事业基本养老保险基金收支决算表</w:t>
      </w:r>
    </w:p>
    <w:p>
      <w:pPr>
        <w:pStyle w:val="2"/>
        <w:shd w:val="clear" w:color="auto" w:fill="FFFFFF"/>
        <w:spacing w:line="260" w:lineRule="exact"/>
        <w:jc w:val="right"/>
        <w:rPr>
          <w:rFonts w:hint="eastAsia" w:asci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sz w:val="22"/>
          <w:szCs w:val="22"/>
          <w:highlight w:val="none"/>
          <w:lang w:val="en-US" w:eastAsia="zh-CN"/>
        </w:rPr>
        <w:t>单位：元</w:t>
      </w:r>
    </w:p>
    <w:tbl>
      <w:tblPr>
        <w:tblStyle w:val="4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1981"/>
        <w:gridCol w:w="295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项目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机关事业（改革）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项目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both"/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机关事业（改革）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一、基本养老保险费收入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532,100,457.18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一、基本养老金支出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806,451,198.05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（一）单位缴纳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355,055,520.54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both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（一） 基础养老金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（二）个人缴纳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177,044,936.64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both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（二）个人账户养老金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1,272,802.09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二、利息收入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1,120,932.19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both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（三）过渡性养老金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其中：定期利息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both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（四）退休（职）费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805,178,395.96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活期利息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1,120,932.19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二、医疗补助金支出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三、委托投资收益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三、丧葬补助金和抚恤金支出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四、财政补贴收入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209,000,000.00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四、其他支出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380,838.84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（一）中央财政补贴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五、转移支出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2,304,896.85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（二）地方财政补贴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209,000,000.00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五、其他收入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75,295.17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其中:滞纳金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47,134.35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六、转移收入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22,226,634.76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小</w:t>
            </w:r>
            <w:r>
              <w:rPr>
                <w:rFonts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计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764,523,319.3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小</w:t>
            </w:r>
            <w:r>
              <w:rPr>
                <w:rFonts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809,136,933.74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七、上级补助收入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294,050,000.00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七、补助下级支出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217,370,000.00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八、下级上解收入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八、上解上级支出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本年收入合计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1,058,573,319.3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本年支出合计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1,026,506,933.74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九、上年结余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45,778,652.92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九、年末滚存结余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77,845,038.48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总</w:t>
            </w:r>
            <w:r>
              <w:rPr>
                <w:rFonts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计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1,104,351,972.22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总</w:t>
            </w:r>
            <w:r>
              <w:rPr>
                <w:rFonts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计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1,104,351,972.22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562" w:firstLineChars="200"/>
        <w:jc w:val="both"/>
        <w:textAlignment w:val="auto"/>
        <w:outlineLvl w:val="1"/>
        <w:rPr>
          <w:rFonts w:hint="eastAsia" w:ascii="仿宋_GB2312" w:eastAsia="仿宋_GB2312" w:cs="仿宋_GB2312"/>
          <w:b/>
          <w:color w:val="000000"/>
          <w:sz w:val="28"/>
          <w:szCs w:val="28"/>
          <w:highlight w:val="none"/>
          <w:lang w:val="en-US" w:eastAsia="zh-CN"/>
        </w:rPr>
      </w:pPr>
      <w:bookmarkStart w:id="9" w:name="_Toc17367"/>
      <w:bookmarkStart w:id="10" w:name="_Toc11295"/>
      <w:bookmarkStart w:id="11" w:name="_Toc32044"/>
      <w:r>
        <w:rPr>
          <w:rFonts w:ascii="仿宋_GB2312" w:eastAsia="仿宋_GB2312" w:cs="仿宋_GB2312"/>
          <w:b/>
          <w:color w:val="000000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_GB2312" w:eastAsia="仿宋_GB2312" w:cs="仿宋_GB2312"/>
          <w:b/>
          <w:color w:val="000000"/>
          <w:sz w:val="28"/>
          <w:szCs w:val="28"/>
          <w:highlight w:val="none"/>
          <w:lang w:val="en-US" w:eastAsia="zh-CN"/>
        </w:rPr>
        <w:t>评价结论</w:t>
      </w:r>
      <w:bookmarkEnd w:id="9"/>
      <w:bookmarkEnd w:id="10"/>
      <w:bookmarkEnd w:id="11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评价工作组通过访谈、调查、资料采集和复核、数据分析、现场调研等方法，对市养老保险中心2022年市级机关事业单位养老保险基金项目绩效进行客观评价，最终评分结果：得分为84.34分，评价等级为“良”。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从项目的实施情况来看，养老保险基金按照省级统筹暂行办法的要求，对业务操作和经办流程、养老金计发及调整办法、信息管理系统进行统一，各级业务经办流程较为规范，服务满意度较好；从项目的实施成效来看，养老保险基金平稳运行，逐步提高退休人员待遇水平，但由于财政资金保障困难、社会经济增速放缓及退休人员数量增加，参保人员与退休人员结构趋势等影响，导致养老保险费收入增长趋势慢，基金支出逐年增大，财政补助资金的压力较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562" w:firstLineChars="200"/>
        <w:jc w:val="both"/>
        <w:textAlignment w:val="auto"/>
        <w:outlineLvl w:val="1"/>
        <w:rPr>
          <w:rFonts w:hint="eastAsia" w:ascii="仿宋_GB2312" w:eastAsia="仿宋_GB2312" w:cs="仿宋_GB2312"/>
          <w:b/>
          <w:color w:val="000000"/>
          <w:sz w:val="28"/>
          <w:szCs w:val="28"/>
          <w:highlight w:val="none"/>
          <w:lang w:val="en-US" w:eastAsia="zh-CN"/>
        </w:rPr>
      </w:pPr>
      <w:bookmarkStart w:id="12" w:name="_Toc17110"/>
      <w:bookmarkStart w:id="13" w:name="_Toc29066"/>
      <w:bookmarkStart w:id="14" w:name="_Toc16064"/>
      <w:r>
        <w:rPr>
          <w:rFonts w:ascii="仿宋_GB2312" w:eastAsia="仿宋_GB2312" w:cs="仿宋_GB2312"/>
          <w:b/>
          <w:color w:val="000000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_GB2312" w:eastAsia="仿宋_GB2312" w:cs="仿宋_GB2312"/>
          <w:b/>
          <w:color w:val="000000"/>
          <w:sz w:val="28"/>
          <w:szCs w:val="28"/>
          <w:highlight w:val="none"/>
          <w:lang w:val="en-US" w:eastAsia="zh-CN"/>
        </w:rPr>
        <w:t>存在的问题</w:t>
      </w:r>
      <w:bookmarkEnd w:id="12"/>
      <w:bookmarkEnd w:id="13"/>
      <w:bookmarkEnd w:id="14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both"/>
        <w:textAlignment w:val="auto"/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市养老保险中心2022年市级机关事业单位养老保险基金项目，在取得一定成绩的同时，在项目执行过程中还存在以下问题：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outlineLvl w:val="2"/>
        <w:rPr>
          <w:rFonts w:hint="eastAsia" w:ascii="仿宋_GB2312" w:eastAsia="仿宋_GB2312" w:cs="仿宋_GB2312"/>
          <w:b/>
          <w:bCs w:val="0"/>
          <w:color w:val="auto"/>
          <w:kern w:val="2"/>
          <w:sz w:val="28"/>
          <w:szCs w:val="28"/>
          <w:highlight w:val="none"/>
          <w:lang w:val="en-US" w:eastAsia="zh-CN"/>
        </w:rPr>
      </w:pPr>
      <w:bookmarkStart w:id="15" w:name="_Toc19646"/>
      <w:r>
        <w:rPr>
          <w:rFonts w:ascii="仿宋_GB2312" w:eastAsia="仿宋_GB2312" w:cs="仿宋_GB2312"/>
          <w:b/>
          <w:sz w:val="28"/>
          <w:szCs w:val="28"/>
          <w:highlight w:val="none"/>
        </w:rPr>
        <w:t>（一）</w:t>
      </w:r>
      <w:bookmarkEnd w:id="15"/>
      <w:bookmarkStart w:id="16" w:name="_Toc16203"/>
      <w:r>
        <w:rPr>
          <w:rFonts w:hint="eastAsia" w:ascii="仿宋_GB2312" w:eastAsia="仿宋_GB2312" w:cs="仿宋_GB2312"/>
          <w:b/>
          <w:bCs w:val="0"/>
          <w:color w:val="auto"/>
          <w:kern w:val="2"/>
          <w:sz w:val="28"/>
          <w:szCs w:val="28"/>
          <w:highlight w:val="none"/>
          <w:lang w:val="en-US" w:eastAsia="zh-CN"/>
        </w:rPr>
        <w:t>养老保险欠费金额呈扩大趋势，无具体的清欠计划</w:t>
      </w:r>
      <w:bookmarkEnd w:id="16"/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default" w:asci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2022年年初，机关事业单位基本养老保险欠费金额18,117,775.18元,本年新增</w:t>
      </w:r>
      <w:r>
        <w:rPr>
          <w:rFonts w:hint="eastAsia" w:ascii="仿宋_GB2312" w:hAnsi="Calibri" w:eastAsia="仿宋_GB2312" w:cs="仿宋_GB2312"/>
          <w:i w:val="0"/>
          <w:i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23,588,503.58</w:t>
      </w:r>
      <w:r>
        <w:rPr>
          <w:rFonts w:hint="eastAsia" w:asci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元，年末欠费金额合计</w:t>
      </w:r>
      <w:r>
        <w:rPr>
          <w:rFonts w:hint="eastAsia" w:ascii="仿宋_GB2312" w:hAnsi="Calibri" w:eastAsia="仿宋_GB2312" w:cs="仿宋_GB2312"/>
          <w:i w:val="0"/>
          <w:i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41,706,278.76</w:t>
      </w:r>
      <w:r>
        <w:rPr>
          <w:rFonts w:hint="eastAsia" w:asci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元，历史欠缴金额和当年新增欠费均未得到有效控制，欠费金额巨大且呈上升趋势，目前尚无明确的清欠计划。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589"/>
        <w:gridCol w:w="1790"/>
        <w:gridCol w:w="179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2022年初</w:t>
            </w:r>
          </w:p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欠费金额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2022年新增</w:t>
            </w:r>
          </w:p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default" w:ascii="仿宋_GB2312" w:eastAsia="仿宋_GB2312" w:cs="仿宋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欠费金额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2022年末</w:t>
            </w:r>
          </w:p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欠费金额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  <w:t>秦皇岛日报社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  <w:t>5,887,303.90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6,581,041.80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12,468,345.70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  <w:t>秦皇岛市创业就业训练中心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  <w:t>900,478.82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1,074,393.00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1,974,871.82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  <w:t>秦皇岛市房屋维修服务中心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2,421,498.96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2,421,498.96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left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  <w:t>秦皇岛市广播电视台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  <w:t>11,329,992.46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13,511,569.82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24,841,562.28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center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  <w:t>合  计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shd w:val="clear" w:color="auto" w:fill="FFFFFF"/>
              <w:spacing w:line="260" w:lineRule="exact"/>
              <w:jc w:val="right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  <w:t>18,117,775.18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23,588,503.58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cs="仿宋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41,706,278.76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highlight w:val="none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建议：加强基金预算执行的严肃性和约束性，有针对性的制定欠费清缴工作方案和清欠计划，确保养老保险费应收尽收。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2"/>
        <w:rPr>
          <w:rFonts w:hint="eastAsia" w:asci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bookmarkStart w:id="17" w:name="_Toc2060"/>
      <w:r>
        <w:rPr>
          <w:rFonts w:asci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二</w:t>
      </w:r>
      <w:r>
        <w:rPr>
          <w:rFonts w:asci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预算数据和决算数据偏差大，预算编制准确性需提高</w:t>
      </w:r>
      <w:bookmarkEnd w:id="17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2022年基本养老保险费收入预算申报455,071,474.78元，预算调整金额70,083,886.00元，预算调整15%；财政补贴收入预算申报321,000,000.00元，预算调整金额-112,000,000.00元，预算调整-34.89%；基本养老保险支出883,009,644.68元，预算调整金额-77,579,644.00元，预算调整-8.79%；转移支出预算申报900,000.00元，预算调整金额10,838,806.00元，预算调整1204.31%；其他支出300,000.00元，预算调整金额72,195.34元,预算调整24.07%。项目单位未能提供预算调整的政策文件，预算编制偏差过大，没有起到预算编制的重要作用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建议：完善预算编制方法，形成部门间的联动机制，对预算管理建立行之有效的监督管理机制，转变“重核算轻管理的思想”，树立“事前有计划，事中有控制，事后有考评”的观念，提高预算管理绩效意识，充分发挥资金使用效率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2"/>
        <w:rPr>
          <w:rFonts w:hint="eastAsia" w:ascii="仿宋_GB2312" w:eastAsia="仿宋_GB2312" w:cs="仿宋_GB2312"/>
          <w:b/>
          <w:kern w:val="0"/>
          <w:sz w:val="28"/>
          <w:szCs w:val="28"/>
          <w:highlight w:val="none"/>
          <w:u w:val="none"/>
          <w:lang w:val="en-US"/>
        </w:rPr>
      </w:pPr>
      <w:bookmarkStart w:id="18" w:name="_Toc6398"/>
      <w:r>
        <w:rPr>
          <w:rFonts w:ascii="仿宋_GB2312" w:eastAsia="仿宋_GB2312" w:cs="仿宋_GB2312"/>
          <w:b/>
          <w:kern w:val="0"/>
          <w:sz w:val="28"/>
          <w:szCs w:val="28"/>
          <w:highlight w:val="none"/>
          <w:u w:val="none"/>
        </w:rPr>
        <w:t>（</w:t>
      </w:r>
      <w:r>
        <w:rPr>
          <w:rFonts w:hint="eastAsia" w:ascii="仿宋_GB2312" w:eastAsia="仿宋_GB2312" w:cs="仿宋_GB2312"/>
          <w:b/>
          <w:kern w:val="0"/>
          <w:sz w:val="28"/>
          <w:szCs w:val="28"/>
          <w:highlight w:val="none"/>
          <w:u w:val="none"/>
          <w:lang w:val="en-US" w:eastAsia="zh-CN"/>
        </w:rPr>
        <w:t>三</w:t>
      </w:r>
      <w:r>
        <w:rPr>
          <w:rFonts w:ascii="仿宋_GB2312" w:eastAsia="仿宋_GB2312" w:cs="仿宋_GB2312"/>
          <w:b/>
          <w:kern w:val="0"/>
          <w:sz w:val="28"/>
          <w:szCs w:val="28"/>
          <w:highlight w:val="none"/>
          <w:u w:val="none"/>
        </w:rPr>
        <w:t>）</w:t>
      </w:r>
      <w:r>
        <w:rPr>
          <w:rFonts w:hint="eastAsia" w:ascii="仿宋_GB2312" w:eastAsia="仿宋_GB2312" w:cs="仿宋_GB2312"/>
          <w:b/>
          <w:kern w:val="0"/>
          <w:sz w:val="28"/>
          <w:szCs w:val="28"/>
          <w:highlight w:val="none"/>
          <w:u w:val="none"/>
        </w:rPr>
        <w:t>项目单位</w:t>
      </w:r>
      <w:r>
        <w:rPr>
          <w:rFonts w:hint="eastAsia" w:ascii="仿宋_GB2312" w:eastAsia="仿宋_GB2312" w:cs="仿宋_GB2312"/>
          <w:b/>
          <w:kern w:val="0"/>
          <w:sz w:val="28"/>
          <w:szCs w:val="28"/>
          <w:highlight w:val="none"/>
          <w:u w:val="none"/>
          <w:lang w:val="en-US" w:eastAsia="zh-CN"/>
        </w:rPr>
        <w:t>财务制单、记账均由财务主管一人完成，不符合单位内控和财务制度的规定</w:t>
      </w:r>
      <w:bookmarkEnd w:id="18"/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_GB2312" w:eastAsia="仿宋_GB2312" w:cs="仿宋_GB2312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highlight w:val="none"/>
          <w:u w:val="none"/>
          <w:lang w:val="en-US" w:eastAsia="zh-CN"/>
        </w:rPr>
        <w:t>经抽查会计凭证</w:t>
      </w:r>
      <w:r>
        <w:rPr>
          <w:rFonts w:hint="eastAsia" w:ascii="仿宋_GB2312" w:eastAsia="仿宋_GB2312" w:cs="仿宋_GB2312"/>
          <w:kern w:val="0"/>
          <w:sz w:val="28"/>
          <w:szCs w:val="28"/>
          <w:highlight w:val="none"/>
          <w:lang w:val="en-US" w:eastAsia="zh-CN"/>
        </w:rPr>
        <w:t>，发现实际账务记账、制单都由财务科长一人负责，和项目单位的</w:t>
      </w:r>
      <w:r>
        <w:rPr>
          <w:rFonts w:hint="eastAsia" w:ascii="仿宋_GB2312" w:eastAsia="仿宋_GB2312" w:cs="仿宋_GB2312"/>
          <w:kern w:val="0"/>
          <w:sz w:val="28"/>
          <w:szCs w:val="28"/>
          <w:highlight w:val="none"/>
          <w:u w:val="none"/>
          <w:lang w:val="en-US" w:eastAsia="zh-CN"/>
        </w:rPr>
        <w:t>《内部控制制度》</w:t>
      </w:r>
      <w:r>
        <w:rPr>
          <w:rFonts w:hint="eastAsia" w:ascii="仿宋_GB2312" w:eastAsia="仿宋_GB2312" w:cs="仿宋_GB2312"/>
          <w:kern w:val="0"/>
          <w:sz w:val="28"/>
          <w:szCs w:val="28"/>
          <w:highlight w:val="none"/>
          <w:lang w:val="en-US" w:eastAsia="zh-CN"/>
        </w:rPr>
        <w:t>《基金财务制度》相关规定不符，不满足内控中岗位牵制的原则，同时也不符合《中华人民共和国会计法》的相关规定。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28"/>
          <w:szCs w:val="28"/>
          <w:highlight w:val="none"/>
          <w:lang w:val="en-US" w:eastAsia="zh-CN"/>
        </w:rPr>
        <w:t>建议：项目主管部门进一步规范财务核算，根据会计、财务主管、财务处长的岗位职责独立性原则，进一步完善财务处理流程，规范账务处理程序</w:t>
      </w:r>
      <w:r>
        <w:rPr>
          <w:rFonts w:hint="eastAsia" w:ascii="仿宋_GB2312" w:eastAsia="仿宋_GB2312" w:cs="仿宋_GB2312"/>
          <w:kern w:val="0"/>
          <w:sz w:val="28"/>
          <w:szCs w:val="28"/>
          <w:highlight w:val="none"/>
          <w:lang w:val="en-US" w:eastAsia="zh-CN" w:bidi="ar-SA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eastAsia="宋体" w:cs="宋体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9095" cy="1397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133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1pt;width:29.8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ph283XAAAAAwEAAA8AAAAAAAAAAQAgAAAAIgAAAGRy&#10;cy9kb3ducmV2LnhtbFBLAQIUABQAAAAIAIdO4kCLomiWBgIAAPQDAAAOAAAAAAAAAAEAIAAAACYB&#10;AABkcnMvZTJvRG9jLnhtbFBLBQYAAAAABgAGAFkBAACe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eastAsia"/>
        <w:lang w:val="en-US" w:eastAsia="zh-CN"/>
      </w:rPr>
    </w:pPr>
    <w:r>
      <w:rPr>
        <w:rFonts w:hint="eastAsia" w:ascii="黑体" w:eastAsia="黑体" w:cs="黑体"/>
        <w:sz w:val="21"/>
        <w:szCs w:val="21"/>
        <w:lang w:val="en-US" w:eastAsia="zh-CN"/>
      </w:rPr>
      <w:t>2022年度机关事业单位养老保险基金项目绩效评价报告（摘要）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52475"/>
    <w:rsid w:val="4C152475"/>
    <w:rsid w:val="7C12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中国铝业集团有限公司总部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2023-11-06T04:36:00Z</dcterms:created>
  <dc:creator>高建强</dc:creator>
  <cp:lastModifiedBy>高建强</cp:lastModifiedBy>
  <dcterms:modified xsi:type="dcterms:W3CDTF">2023-11-06T05:10:24Z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CA899FE0D32D454E90BCE74CE6B29CBF</vt:lpwstr>
  </property>
</Properties>
</file>