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秦皇岛市商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投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公司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基本情况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汇报</w:t>
      </w:r>
    </w:p>
    <w:p>
      <w:pPr>
        <w:numPr>
          <w:ilvl w:val="0"/>
          <w:numId w:val="1"/>
        </w:numPr>
        <w:ind w:firstLine="640" w:firstLineChars="200"/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9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企业简介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9"/>
          <w:rFonts w:ascii="仿宋_GB2312" w:eastAsia="仿宋_GB2312"/>
          <w:color w:val="auto"/>
          <w:sz w:val="32"/>
          <w:szCs w:val="32"/>
        </w:rPr>
        <w:t>秦皇岛市商贸国有资产投资经营有限公司（以下简称商投公司）是2001年经市政府批准，在</w:t>
      </w:r>
      <w:r>
        <w:rPr>
          <w:rStyle w:val="9"/>
          <w:rFonts w:hint="eastAsia" w:ascii="仿宋_GB2312" w:eastAsia="仿宋_GB2312"/>
          <w:color w:val="auto"/>
          <w:sz w:val="32"/>
          <w:szCs w:val="32"/>
        </w:rPr>
        <w:t>原</w:t>
      </w:r>
      <w:r>
        <w:rPr>
          <w:rStyle w:val="9"/>
          <w:rFonts w:ascii="仿宋_GB2312" w:eastAsia="仿宋_GB2312"/>
          <w:color w:val="auto"/>
          <w:sz w:val="32"/>
          <w:szCs w:val="32"/>
        </w:rPr>
        <w:t>市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物资局、市贸易局</w:t>
      </w:r>
      <w:r>
        <w:rPr>
          <w:rStyle w:val="9"/>
          <w:rFonts w:ascii="仿宋_GB2312" w:eastAsia="仿宋_GB2312"/>
          <w:color w:val="auto"/>
          <w:sz w:val="32"/>
          <w:szCs w:val="32"/>
        </w:rPr>
        <w:t>基础上组建的国有独资公司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公司虽然是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企业性质，但始终承担着政府的行政管理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和社会服务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自成立以来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完成了4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家国有企业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物资系统24</w:t>
      </w:r>
      <w:r>
        <w:rPr>
          <w:rStyle w:val="9"/>
          <w:rFonts w:ascii="仿宋_GB2312" w:eastAsia="仿宋_GB2312"/>
          <w:color w:val="auto"/>
          <w:sz w:val="32"/>
          <w:szCs w:val="32"/>
        </w:rPr>
        <w:t>家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Style w:val="9"/>
          <w:rFonts w:ascii="仿宋_GB2312" w:eastAsia="仿宋_GB2312"/>
          <w:color w:val="auto"/>
          <w:sz w:val="32"/>
          <w:szCs w:val="32"/>
        </w:rPr>
        <w:t>商业系统15家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其他行业5家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Style w:val="9"/>
          <w:rFonts w:ascii="仿宋_GB2312" w:eastAsia="仿宋_GB2312"/>
          <w:color w:val="auto"/>
          <w:sz w:val="32"/>
          <w:szCs w:val="32"/>
        </w:rPr>
        <w:t>的改制工作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Style w:val="9"/>
          <w:rFonts w:ascii="仿宋_GB2312" w:eastAsia="仿宋_GB2312"/>
          <w:color w:val="auto"/>
          <w:sz w:val="32"/>
          <w:szCs w:val="32"/>
        </w:rPr>
        <w:t>通过对国有产权和职工身份进行“两个置换”，实现了国有资本从商贸流通领域退出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Style w:val="9"/>
          <w:rFonts w:ascii="仿宋_GB2312" w:eastAsia="仿宋_GB2312"/>
          <w:color w:val="auto"/>
          <w:sz w:val="32"/>
          <w:szCs w:val="32"/>
        </w:rPr>
        <w:t>共处置国有资产9.14亿元，消化债务6.05亿元，上交产权出售收益3.09亿元。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截止2021年底，共安置44家企业职工7623人，发放各种费用2.09亿元。公司</w:t>
      </w:r>
      <w:r>
        <w:rPr>
          <w:rStyle w:val="9"/>
          <w:rFonts w:ascii="仿宋_GB2312" w:eastAsia="仿宋_GB2312"/>
          <w:color w:val="auto"/>
          <w:sz w:val="32"/>
          <w:szCs w:val="32"/>
        </w:rPr>
        <w:t>2017年3月划归市国资委管理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9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工商注册信息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638" w:leftChars="304" w:firstLine="0" w:firstLineChars="0"/>
        <w:textAlignment w:val="auto"/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企业名称:</w:t>
      </w:r>
      <w:r>
        <w:rPr>
          <w:rStyle w:val="9"/>
          <w:rFonts w:ascii="仿宋_GB2312" w:eastAsia="仿宋_GB2312"/>
          <w:color w:val="auto"/>
          <w:sz w:val="32"/>
          <w:szCs w:val="32"/>
        </w:rPr>
        <w:t>秦皇岛市商贸国有资产投资经营有限公司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企业性质：有限责任公司（国有独资）；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注册办公地点：秦皇岛市海港区文化路356号；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注册资本数额：伍千万元整；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Style w:val="9"/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eastAsia="仿宋_GB2312"/>
          <w:color w:val="auto"/>
          <w:sz w:val="32"/>
          <w:szCs w:val="32"/>
          <w:lang w:val="en-US" w:eastAsia="zh-CN"/>
        </w:rPr>
        <w:t>出资人名称：秦皇岛市人民政府国有资产监督管理委员会；经营范围：受政府委托管理商贸国有资产、开发商贸流通项目、功能性流通项目。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企业领导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党委会情况:党委书记：方向明（1-5月），王宝宏（6-12月）。党委委员：杨晓伟、景新婷。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董事会情况。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</w:rPr>
        <w:t>公司依法设立董事会，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</w:rPr>
        <w:t>由 3人组成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lang w:val="en-US" w:eastAsia="zh-CN"/>
        </w:rPr>
        <w:t>董事长：方向明（1-5月），王宝宏（6-12月）；董事：赵君莉、杨晓伟。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Style w:val="9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经理层情况。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总经理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方向明（1-5月），王宝宏（6-12月）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副总经理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赵君莉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副总经理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杨晓伟。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公司内设科室6个：综合办公室、党建和人事工作办公室、企业管理与维稳办公室、退管科、财审科、资产科。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200"/>
        <w:textAlignment w:val="auto"/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三、经营管理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671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671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lang w:val="en-US" w:eastAsia="zh-CN"/>
        </w:rPr>
        <w:t>见附件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671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lang w:val="en-US" w:eastAsia="zh-CN"/>
        </w:rPr>
        <w:t>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2021年底公司总资产5359.11万元，总负债541.15万元，净资产4817.96万元，资产负债率10.1%，与去年相比较，公司总资产增加103.32万元，总负债增加16.19万元，净资产增加87.13万元。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671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四、薪酬待遇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280" w:firstLineChars="400"/>
        <w:textAlignment w:val="auto"/>
        <w:rPr>
          <w:rStyle w:val="9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280" w:firstLineChars="400"/>
        <w:textAlignment w:val="auto"/>
        <w:rPr>
          <w:rStyle w:val="9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280" w:firstLineChars="400"/>
        <w:textAlignment w:val="auto"/>
        <w:rPr>
          <w:rStyle w:val="9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280" w:firstLineChars="400"/>
        <w:textAlignment w:val="auto"/>
        <w:rPr>
          <w:rStyle w:val="9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2021年企业负责人实际领取薪酬标准。</w:t>
      </w:r>
    </w:p>
    <w:p>
      <w:pPr>
        <w:rPr>
          <w:rStyle w:val="9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            单位：万元</w:t>
      </w:r>
    </w:p>
    <w:tbl>
      <w:tblPr>
        <w:tblStyle w:val="6"/>
        <w:tblW w:w="8579" w:type="dxa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53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薪金总额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方向明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党委书记、董事长、总经理</w:t>
            </w:r>
          </w:p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（1-5月）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王宝宏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党委书记、董事长、总经理</w:t>
            </w:r>
          </w:p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（6-12月）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赵君莉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杨晓伟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党委委员、副总经理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景新婷</w:t>
            </w:r>
          </w:p>
        </w:tc>
        <w:tc>
          <w:tcPr>
            <w:tcW w:w="4535" w:type="dxa"/>
          </w:tcPr>
          <w:p>
            <w:pPr>
              <w:widowControl w:val="0"/>
              <w:jc w:val="center"/>
              <w:rPr>
                <w:rStyle w:val="9"/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党委委员、纪委书记</w:t>
            </w:r>
          </w:p>
        </w:tc>
        <w:tc>
          <w:tcPr>
            <w:tcW w:w="2434" w:type="dxa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12.99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五、重要人事变动</w:t>
      </w:r>
    </w:p>
    <w:p>
      <w:pPr>
        <w:ind w:firstLine="640" w:firstLineChars="200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六、重大事项</w:t>
      </w:r>
    </w:p>
    <w:p>
      <w:pPr>
        <w:ind w:firstLine="640" w:firstLineChars="200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七、员工招聘</w:t>
      </w:r>
    </w:p>
    <w:p>
      <w:pPr>
        <w:ind w:firstLine="640" w:firstLineChars="200"/>
        <w:rPr>
          <w:rStyle w:val="9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八、社会责任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jc w:val="left"/>
        <w:rPr>
          <w:rStyle w:val="9"/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附件</w:t>
      </w:r>
      <w:r>
        <w:rPr>
          <w:rStyle w:val="9"/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秦皇岛市商贸国有资产投资经营有限公司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度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工作总结</w:t>
      </w:r>
    </w:p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Lines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年,我公司在市国资委党委正确领导下，坚持以习近平新时代中国特色社会主义思想为指导，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以党史学习教育为统领，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紧紧围绕公司中心工作和市国资委下达的年度目标任务，扎实推进各项工作协调稳步发展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取得较好效果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主要工作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情况总结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黑体" w:hAnsi="黑体" w:eastAsia="黑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黑体" w:hAnsi="黑体" w:eastAsia="黑体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业务工作情况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积极推进国有企业改制工作。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市废旧机动车拆解中心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改制。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市废旧机动车拆解中心属于特殊行业，是我公司所属唯一的国有企业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按照国资委要求，我公司积极协调推进，顺利完成了企业职工分流安置，发放了职工安置费和拖欠费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，完成了废旧机动车拆解中心与建恒公司的交接工作，解决了一系列的遗留问题。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物资再生利用总公司破产工作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进展顺利。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九月份完成了破产立案工作，法院指定了破产清算组，目前已进入破产清算阶段。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加强对参股企业和国有资产的管理工作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做好国有参股企业监管工作。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督导参股企业海岳金属材料交易中心的年度审计工作，对企业资产状况及其他股权的变动做到心中有数。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进一步加强对秦皇岛海岳金属材料交易中心15.53%国有股权管理，同时要求企业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提供财务报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，确保公司有效行使国有资产监督管理权。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.做好国有资产管理、租赁和租金收缴工作。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根据资产类型，制定不同管理方法，建立和完善了资产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及合同管理制度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租赁资产未出现租金欠缴、未缴情况。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高度重视租赁到期资产重签续签工作，保持资产租赁的连贯性。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对租赁期间资产，逐一与租赁人沟通，落实租金收缴日期，确保按时足额收缴租赁资产租金，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月国有资产的租金收益168.9万元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按要求待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上缴市财政局。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足额落实改制企业职工安置费抵押资产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要求监管企业按月报表、定期不定期向企业查询，确保职工安置费按时发放。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积极做好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诉讼案件处置工作。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圆满解决天鹅宾馆西配楼资产纠纷。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天鹅宾馆西配楼有105平方米与实际产权持有人产生纠纷，对方诉诸法律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经法院协商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月，经主要负责人多次约谈协调，双方达成了共识，解决了困扰两年多的难题。按照国有资产管理的要求，对该资产的租金按程序进行了评估，为下一步公开招标招租打下了基础。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是历史遗留的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利空调安装公司工程款案。1997年开利空调安装公司诉原贸易局拖欠工程款110万元，中院判决后，因贸易局撤销而被终结执行。中院重新作出执行裁定，将我公司列为开利诉讼被执行人，我公司向河北省高级人民法院提出复议，请求撤销市中院裁定。2017年省高院驳回复议，维持市中院裁定。开利公司要求我公司支付2018年5月前本息693.8万元，我公司向法院及开利公司提出异议，认为计算不实，由律师协调法院及当事人，未达成共识，目前此案仍在沟通中。三是金属材料公司废油罐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金属批发市场是我公司监管国有资产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因历史原因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院内西北侧的油罐、地库储存的废油脂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存在严重环境风险、安全隐患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2019年对地罐进行了二次加强加固封存。2020年法院缺席裁定由原承租单位变更后的股东承担责任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我公司投入大量人力物力寻求解决问题的办法，通过登报、工商信息查询及相关人士走访询问等方式继续寻找油罐、地罐及油的所有权人，但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均未找到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。市环境保护局海港区分局发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整改通知，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如不能及时处理，将面临环保处罚的经济损失和影响环境的重大风险。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经国资委协调，多次与有资质的相关单位接触、比价，预计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危废品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处置费用为300万元，后续工作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有序进行中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黑体" w:eastAsia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做好改制破产企业监管</w:t>
      </w:r>
      <w:r>
        <w:rPr>
          <w:rFonts w:hint="eastAsia" w:ascii="楷体_GB2312" w:hAnsi="黑体" w:eastAsia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及职工服务工作。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对系统内涉及公司制改制的29家企业进行了全面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核实清理：协助18家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符合进行清理注销的全民所有制企业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全部办理了注销手续，1家已经完成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公司制改制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1家已经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进入破产清算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程序，9家因各种原因暂时搁置。二是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协助德信医药公司完成改制后资产产权确权手续，配合德信医药公司进行股权变更事宜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认真做好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改制破产及无托管主体企业职工服务工作。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公司管理破产企业、托管企业共10家，职工425人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月共计发放职工安置长期费用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41.36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万元，发放事业单位待遇差5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为所属企业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名职工发放退休独生子女奖励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58.5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万元；为20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名新退休职工申报、审核独生子女奖励4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企业和个人申办独生子女费用、接续工龄、办理退休、申报慢性病、提取公积金、房屋上市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档案咨询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各类事项360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余次，开各类证明信件30余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黑体" w:eastAsia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（四）离休干部管理和服务工作。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一是按时申请发放各项费用。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今年1-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月为离休干部申请发放各项费用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10.95万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元，为外地居住和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自行报销有困难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离休干部代办药费报销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16.9万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_GB2312" w:hAnsi="仿宋" w:eastAsia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" w:eastAsia="仿宋_GB2312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为每一位老干部建立《爱心联系卡》，开通了老干部24小时服务热线</w:t>
      </w:r>
      <w:r>
        <w:rPr>
          <w:rFonts w:hint="eastAsia" w:ascii="仿宋_GB2312" w:hAnsi="仿宋" w:eastAsia="仿宋_GB2312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三是做好日常管理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和走访慰问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工作。1-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月共走访老干部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人次，探望住院老干部2人，为1名老干部庆祝了生日，发放慰问品（金）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两名离休干部提高到副省级医疗待遇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申报审批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，完成了8名离休干部党员“光荣在党50年”纪念章的资格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和发放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（五）三供一业及自管小区物业管理工作。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一是完成了兴隆里小区自来水分离的户内户外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9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公司直接管理兴隆里小区职工住宅共15栋411户（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涉及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水改造243户），今年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0"/>
          <w14:textFill>
            <w14:solidFill>
              <w14:schemeClr w14:val="tx1"/>
            </w14:solidFill>
          </w14:textFill>
        </w:rPr>
        <w:t>按市政府“三供一业”政策要求，积极对接市自来水公司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，多方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筹措资金，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经过近半年的工程施工，243户的外网改造和室内的分户改造工作全部完成。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积极推进破产企业金属公司职工家属区“三供一业”分离移交工作。目前涉及电分离收尾，自来水分户改造、污水管道改造正在进行。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三是加强兴隆里小区管理工作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全年累计维修职工住宅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户、维修自来水管线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次、清理污水管线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次，接待并处置涉及住户物业管理等各类问题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0余起。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（六）信访维稳工作。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信访维稳工作始终是我公司重点工作，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在信访接待中我们做到了耐心接待、积极疏导、认真解决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对多年信访涉及人数较多的建材公司和旧货市场、物资局北戴河招待所进行重点关注，多次与职工进行沟通，讲解政策、安抚情绪。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年，我们重点接待建材公司、北戴河招待所、海岳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金属材料交易中心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、秦发集团、茂业集团、物资再生公司、京秦总公司、机电总公司、糖酒公司等企业职工信访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起，累计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200余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人次，全年未发生越级访、进京访事件，确保了大局稳定。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黑体" w:eastAsia="楷体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强化安全生产意识，确保全系统无安全事故发生。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始终把安全生产作为头等大事来抓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定期召开安全生产调度会，及时传达上级关于安全生产工作的有关文件精神。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制定了《商投公司防汛减灾应急预案》《商投公司消防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安全应急预案》、《商投公司安全生产制度》《商投公司“迎建党百年、保生产安全”安全生产再排查再整治专项行动方案》、《市商投公司火灾隐患专项整治行动方案》，重点对办公楼用电设施、消防设施、消防器材及消防安全宣传等方面进行火灾隐患排查治理，提高公司安全管理水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三是按时报送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安全生产专项整治一表三清单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组织收看《生命重要泰山---学习习近平总书记关于安全生产重要论述》电视专题片、学习《新安全生产法》，提升广大职工安全生产意识。</w:t>
      </w:r>
    </w:p>
    <w:p>
      <w:pPr>
        <w:keepLines w:val="0"/>
        <w:pBdr>
          <w:bottom w:val="single" w:color="FFFFFF" w:sz="4" w:space="31"/>
        </w:pBdr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党风廉政建设方面主要情况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全面落实主体责任，认真落实“一岗双责”</w:t>
      </w:r>
      <w:r>
        <w:rPr>
          <w:rFonts w:hint="eastAsia" w:ascii="仿宋_GB2312" w:hAnsi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结合实际制定公司党风廉政建设责任分解，进一步明确党委书记、班子成员和科室负责人在党风廉政建设中的具体责任。党委书记对党风廉政建设负总责，班子成员认真履行“一岗双责”责任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强化权力运行制约和监督。制定了公司权力清单和廉政风险防控措施，加强对公司涉及人、财、物管理权的科室有效制约和监督，实现对权力运行各环节廉政风险的全面防控和有效预警。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深入推进作风建设。贯彻落实好中央八项规定及实施细则精神，认真学习领会习近平总书记关于进一步纠正“四风”，加强作风建设的重要指示精神，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落实国资委《2021年全市“作风建设巩固拓展年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暨深化纠正“四风”和作风纪律专项整治推进方案落实措施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年,按照市国资委要求，公司全面完成了年初制定的工作目标任务。在服务企业和职工、保持稳定、国有资产保值增值、安全生产等方面做了大量工作，也取得了较好成效，但仍然存在着一些问题和不足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一是各项管理制度落实上有待进一步加强；二是领导班子建设及领导干部服务群众身体力行方面还需再深入。我们将在今后的工作中高度重视这些问题，采取更加有效措施，切实加以解决，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让上级党委放心，让基层群众满意。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" w:firstLine="2891" w:firstLineChars="900"/>
        <w:jc w:val="both"/>
        <w:textAlignment w:val="baseline"/>
        <w:rPr>
          <w:rFonts w:ascii="黑体" w:hAnsi="黑体" w:eastAsia="黑体"/>
          <w:b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pBdr>
          <w:bottom w:val="single" w:color="FFFFFF" w:sz="4" w:space="31"/>
        </w:pBdr>
        <w:ind w:right="25" w:rightChars="12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9870833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9870833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000000" w:sz="0" w:space="0"/>
      </w:pBdr>
      <w:rPr>
        <w:rStyle w:val="9"/>
      </w:rPr>
    </w:pPr>
  </w:p>
  <w:p>
    <w:pP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D27731"/>
    <w:multiLevelType w:val="singleLevel"/>
    <w:tmpl w:val="92D27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zNDI2YjcxMWMwNTQ5Y2ZkZjkzMTU1OTFiNmEifQ=="/>
  </w:docVars>
  <w:rsids>
    <w:rsidRoot w:val="6816214E"/>
    <w:rsid w:val="02A6100C"/>
    <w:rsid w:val="03E461C2"/>
    <w:rsid w:val="050C2C34"/>
    <w:rsid w:val="08F008BD"/>
    <w:rsid w:val="0A3B790C"/>
    <w:rsid w:val="0AA6086B"/>
    <w:rsid w:val="0C2029E4"/>
    <w:rsid w:val="0CCB28FA"/>
    <w:rsid w:val="0DD755C7"/>
    <w:rsid w:val="0FC11BAC"/>
    <w:rsid w:val="10C13250"/>
    <w:rsid w:val="10C21814"/>
    <w:rsid w:val="115A31A2"/>
    <w:rsid w:val="14796894"/>
    <w:rsid w:val="18DE67DE"/>
    <w:rsid w:val="215D68D0"/>
    <w:rsid w:val="22DF9C1A"/>
    <w:rsid w:val="29562AE5"/>
    <w:rsid w:val="29AA11B8"/>
    <w:rsid w:val="2A033573"/>
    <w:rsid w:val="2C1646FC"/>
    <w:rsid w:val="2E4870BD"/>
    <w:rsid w:val="31064736"/>
    <w:rsid w:val="310B39D8"/>
    <w:rsid w:val="33792DA8"/>
    <w:rsid w:val="3B297AAD"/>
    <w:rsid w:val="3CA02840"/>
    <w:rsid w:val="3DF70938"/>
    <w:rsid w:val="3FAB0E23"/>
    <w:rsid w:val="41CD4FA2"/>
    <w:rsid w:val="43EF64D7"/>
    <w:rsid w:val="47CA7281"/>
    <w:rsid w:val="4AD3483A"/>
    <w:rsid w:val="4B69790E"/>
    <w:rsid w:val="4D7F1054"/>
    <w:rsid w:val="4DC32C3F"/>
    <w:rsid w:val="51FE729E"/>
    <w:rsid w:val="53690DC9"/>
    <w:rsid w:val="53EF9F26"/>
    <w:rsid w:val="54825343"/>
    <w:rsid w:val="55D039AB"/>
    <w:rsid w:val="5B503057"/>
    <w:rsid w:val="5EC42FBD"/>
    <w:rsid w:val="5F2539EE"/>
    <w:rsid w:val="5FBF454D"/>
    <w:rsid w:val="633E139F"/>
    <w:rsid w:val="67B3393D"/>
    <w:rsid w:val="6816214E"/>
    <w:rsid w:val="6A0E4AD8"/>
    <w:rsid w:val="6CE71CF3"/>
    <w:rsid w:val="6D776DE5"/>
    <w:rsid w:val="6F6FDF00"/>
    <w:rsid w:val="6FFDE21C"/>
    <w:rsid w:val="71A401BA"/>
    <w:rsid w:val="71F7998A"/>
    <w:rsid w:val="75721AB7"/>
    <w:rsid w:val="76EE10C3"/>
    <w:rsid w:val="7B6A6C5E"/>
    <w:rsid w:val="7C24563A"/>
    <w:rsid w:val="7CFA5DC5"/>
    <w:rsid w:val="7FA04F68"/>
    <w:rsid w:val="BB2B6634"/>
    <w:rsid w:val="EBFE566C"/>
    <w:rsid w:val="FFDBE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qFormat/>
    <w:uiPriority w:val="0"/>
    <w:rPr>
      <w:rFonts w:eastAsia="楷体_GB2312"/>
      <w:b/>
      <w:iCs/>
      <w:sz w:val="36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5090</Words>
  <Characters>5290</Characters>
  <Lines>0</Lines>
  <Paragraphs>0</Paragraphs>
  <TotalTime>4</TotalTime>
  <ScaleCrop>false</ScaleCrop>
  <LinksUpToDate>false</LinksUpToDate>
  <CharactersWithSpaces>5348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2021-05-30T02:28:00Z</dcterms:created>
  <dc:creator>808</dc:creator>
  <cp:lastModifiedBy>administrator</cp:lastModifiedBy>
  <cp:lastPrinted>2021-11-17T02:06:00Z</cp:lastPrinted>
  <dcterms:modified xsi:type="dcterms:W3CDTF">2024-01-05T09:45:17Z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57A809E0739445959DFF09E82E7B2C5F</vt:lpwstr>
  </property>
</Properties>
</file>