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9C361FD">
      <w:pPr>
        <w:pStyle w:val="16"/>
        <w:spacing w:beforeLines="0" w:afterLines="0" w:line="580" w:lineRule="atLeast"/>
        <w:outlineLvl w:val="9"/>
        <w:rPr>
          <w:rFonts w:ascii="Times New Roman" w:hAnsi="Times New Roman" w:eastAsia="方正小标宋_GBK"/>
          <w:b w:val="0"/>
          <w:color w:val="auto"/>
          <w:szCs w:val="36"/>
          <w:highlight w:val="none"/>
        </w:rPr>
      </w:pPr>
    </w:p>
    <w:p w14:paraId="22B62680">
      <w:pPr>
        <w:pStyle w:val="16"/>
        <w:spacing w:beforeLines="0" w:afterLines="0" w:line="580" w:lineRule="atLeast"/>
        <w:outlineLvl w:val="9"/>
        <w:rPr>
          <w:rFonts w:ascii="Times New Roman" w:hAnsi="Times New Roman" w:eastAsia="方正小标宋_GBK"/>
          <w:b w:val="0"/>
          <w:color w:val="auto"/>
          <w:szCs w:val="36"/>
          <w:highlight w:val="none"/>
        </w:rPr>
      </w:pPr>
    </w:p>
    <w:p w14:paraId="38F9ABF1">
      <w:pPr>
        <w:pStyle w:val="16"/>
        <w:spacing w:beforeLines="0" w:afterLines="0" w:line="580" w:lineRule="atLeast"/>
        <w:outlineLvl w:val="9"/>
        <w:rPr>
          <w:rFonts w:ascii="Times New Roman" w:hAnsi="Times New Roman" w:eastAsia="方正小标宋_GBK"/>
          <w:b w:val="0"/>
          <w:color w:val="auto"/>
          <w:szCs w:val="36"/>
          <w:highlight w:val="none"/>
        </w:rPr>
      </w:pPr>
    </w:p>
    <w:p w14:paraId="339AFEAB">
      <w:pPr>
        <w:pStyle w:val="16"/>
        <w:spacing w:beforeLines="0" w:afterLines="0" w:line="660" w:lineRule="atLeast"/>
        <w:outlineLvl w:val="9"/>
        <w:rPr>
          <w:rFonts w:ascii="Times New Roman" w:hAnsi="Times New Roman" w:eastAsia="方正小标宋_GBK"/>
          <w:bCs w:val="0"/>
          <w:color w:val="auto"/>
          <w:sz w:val="44"/>
          <w:highlight w:val="none"/>
        </w:rPr>
      </w:pPr>
      <w:bookmarkStart w:id="0" w:name="_Toc31208"/>
      <w:bookmarkStart w:id="1" w:name="_Toc23662"/>
      <w:bookmarkStart w:id="2" w:name="_Toc6813"/>
      <w:bookmarkStart w:id="3" w:name="_Toc15982"/>
      <w:bookmarkStart w:id="4" w:name="_Toc14493"/>
      <w:bookmarkStart w:id="5" w:name="_Toc32723"/>
      <w:bookmarkStart w:id="6" w:name="_Toc31939"/>
      <w:bookmarkStart w:id="7" w:name="_Toc15098"/>
      <w:bookmarkStart w:id="8" w:name="_Toc26678"/>
      <w:bookmarkStart w:id="9" w:name="_Toc3453"/>
      <w:bookmarkStart w:id="10" w:name="_Toc13971"/>
      <w:bookmarkStart w:id="11" w:name="_Toc3712"/>
      <w:bookmarkStart w:id="12" w:name="_Toc4119"/>
      <w:bookmarkStart w:id="13" w:name="_Toc28826"/>
      <w:bookmarkStart w:id="14" w:name="_Toc22242"/>
      <w:bookmarkStart w:id="15" w:name="_Toc31916"/>
      <w:bookmarkStart w:id="16" w:name="_Toc16164"/>
      <w:bookmarkStart w:id="17" w:name="_Toc15614"/>
      <w:bookmarkStart w:id="18" w:name="_Toc29161"/>
      <w:bookmarkStart w:id="19" w:name="_Toc19614"/>
      <w:bookmarkStart w:id="20" w:name="_Toc6026"/>
      <w:bookmarkStart w:id="21" w:name="_Toc17155"/>
      <w:bookmarkStart w:id="22" w:name="_Toc32320"/>
      <w:bookmarkStart w:id="23" w:name="_Toc3598"/>
      <w:bookmarkStart w:id="24" w:name="_Toc8873"/>
      <w:bookmarkStart w:id="25" w:name="_Toc9256"/>
      <w:bookmarkStart w:id="26" w:name="_Toc31951"/>
      <w:bookmarkStart w:id="27" w:name="_Toc15517"/>
      <w:r>
        <w:rPr>
          <w:rFonts w:hint="eastAsia" w:ascii="Times New Roman" w:hAnsi="Times New Roman" w:eastAsia="方正小标宋_GBK"/>
          <w:bCs w:val="0"/>
          <w:color w:val="auto"/>
          <w:sz w:val="44"/>
          <w:highlight w:val="none"/>
        </w:rPr>
        <w:t>秦皇岛市国民经济和社会发展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014E34C3">
      <w:pPr>
        <w:pStyle w:val="16"/>
        <w:spacing w:beforeLines="0" w:afterLines="0" w:line="660" w:lineRule="atLeast"/>
        <w:outlineLvl w:val="9"/>
        <w:rPr>
          <w:rFonts w:ascii="Times New Roman" w:hAnsi="Times New Roman" w:eastAsia="方正小标宋_GBK"/>
          <w:bCs w:val="0"/>
          <w:color w:val="auto"/>
          <w:sz w:val="44"/>
          <w:highlight w:val="none"/>
        </w:rPr>
      </w:pPr>
      <w:bookmarkStart w:id="28" w:name="_Toc3615"/>
      <w:bookmarkStart w:id="29" w:name="_Toc5073"/>
      <w:bookmarkStart w:id="30" w:name="_Toc28534"/>
      <w:bookmarkStart w:id="31" w:name="_Toc8098"/>
      <w:bookmarkStart w:id="32" w:name="_Toc16060"/>
      <w:bookmarkStart w:id="33" w:name="_Toc8184"/>
      <w:bookmarkStart w:id="34" w:name="_Toc24333"/>
      <w:bookmarkStart w:id="35" w:name="_Toc10908"/>
      <w:bookmarkStart w:id="36" w:name="_Toc23668"/>
      <w:bookmarkStart w:id="37" w:name="_Toc17046"/>
      <w:bookmarkStart w:id="38" w:name="_Toc30060"/>
      <w:bookmarkStart w:id="39" w:name="_Toc21631"/>
      <w:bookmarkStart w:id="40" w:name="_Toc17637"/>
      <w:bookmarkStart w:id="41" w:name="_Toc14203"/>
      <w:bookmarkStart w:id="42" w:name="_Toc9224"/>
      <w:bookmarkStart w:id="43" w:name="_Toc18907"/>
      <w:bookmarkStart w:id="44" w:name="_Toc29763"/>
      <w:bookmarkStart w:id="45" w:name="_Toc22719"/>
      <w:bookmarkStart w:id="46" w:name="_Toc23808"/>
      <w:bookmarkStart w:id="47" w:name="_Toc27305"/>
      <w:bookmarkStart w:id="48" w:name="_Toc6558"/>
      <w:bookmarkStart w:id="49" w:name="_Toc14010"/>
      <w:bookmarkStart w:id="50" w:name="_Toc14023"/>
      <w:bookmarkStart w:id="51" w:name="_Toc29875"/>
      <w:bookmarkStart w:id="52" w:name="_Toc17954"/>
      <w:bookmarkStart w:id="53" w:name="_Toc17283"/>
      <w:bookmarkStart w:id="54" w:name="_Toc12627"/>
      <w:bookmarkStart w:id="55" w:name="_Toc16605"/>
      <w:r>
        <w:rPr>
          <w:rFonts w:hint="eastAsia" w:ascii="Times New Roman" w:hAnsi="Times New Roman" w:eastAsia="方正小标宋_GBK"/>
          <w:bCs w:val="0"/>
          <w:color w:val="auto"/>
          <w:sz w:val="44"/>
          <w:highlight w:val="none"/>
        </w:rPr>
        <w:t>第十四个五年规划和二〇三五年远景目标纲要</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7BF2C1B">
      <w:pPr>
        <w:pStyle w:val="16"/>
        <w:spacing w:beforeLines="0" w:afterLines="0" w:line="580" w:lineRule="atLeast"/>
        <w:jc w:val="both"/>
        <w:outlineLvl w:val="9"/>
        <w:rPr>
          <w:rFonts w:ascii="Times New Roman" w:hAnsi="Times New Roman" w:eastAsia="方正小标宋_GBK"/>
          <w:b w:val="0"/>
          <w:color w:val="auto"/>
          <w:highlight w:val="none"/>
        </w:rPr>
      </w:pPr>
    </w:p>
    <w:p w14:paraId="543A284D">
      <w:pPr>
        <w:pStyle w:val="37"/>
        <w:jc w:val="center"/>
        <w:outlineLvl w:val="9"/>
        <w:rPr>
          <w:rFonts w:hint="default" w:ascii="Times New Roman" w:hAnsi="Times New Roman" w:eastAsia="楷体"/>
          <w:color w:val="auto"/>
          <w:highlight w:val="none"/>
          <w:lang w:val="en-US" w:eastAsia="zh-CN"/>
        </w:rPr>
      </w:pPr>
      <w:r>
        <w:rPr>
          <w:rFonts w:hint="eastAsia" w:ascii="Times New Roman" w:hAnsi="Times New Roman" w:eastAsia="楷体"/>
          <w:color w:val="auto"/>
          <w:highlight w:val="none"/>
          <w:lang w:eastAsia="zh-CN"/>
        </w:rPr>
        <w:t>（</w:t>
      </w:r>
      <w:r>
        <w:rPr>
          <w:rFonts w:hint="eastAsia" w:ascii="Times New Roman" w:hAnsi="Times New Roman" w:eastAsia="楷体"/>
          <w:color w:val="auto"/>
          <w:highlight w:val="none"/>
          <w:lang w:val="en-US" w:eastAsia="zh-CN"/>
        </w:rPr>
        <w:t>2021年2月3日秦皇岛市第十四届人民代表大会第六次 会议批准）</w:t>
      </w:r>
    </w:p>
    <w:p w14:paraId="4559C9A8">
      <w:pPr>
        <w:pStyle w:val="37"/>
        <w:ind w:left="160"/>
        <w:outlineLvl w:val="9"/>
        <w:rPr>
          <w:rFonts w:ascii="Times New Roman" w:hAnsi="Times New Roman"/>
          <w:color w:val="auto"/>
          <w:highlight w:val="none"/>
        </w:rPr>
      </w:pPr>
    </w:p>
    <w:p w14:paraId="728DCB48">
      <w:pPr>
        <w:rPr>
          <w:color w:val="auto"/>
          <w:highlight w:val="none"/>
        </w:rPr>
      </w:pPr>
    </w:p>
    <w:p w14:paraId="374B5441">
      <w:pPr>
        <w:rPr>
          <w:color w:val="auto"/>
          <w:highlight w:val="none"/>
        </w:rPr>
      </w:pPr>
    </w:p>
    <w:p w14:paraId="3E6E3AD2">
      <w:pPr>
        <w:pStyle w:val="9"/>
        <w:ind w:left="640" w:firstLine="640"/>
        <w:rPr>
          <w:color w:val="auto"/>
          <w:highlight w:val="none"/>
        </w:rPr>
      </w:pPr>
    </w:p>
    <w:p w14:paraId="583408D8">
      <w:pPr>
        <w:pStyle w:val="35"/>
        <w:rPr>
          <w:rFonts w:ascii="Times New Roman" w:hAnsi="Times New Roman"/>
          <w:color w:val="auto"/>
          <w:highlight w:val="none"/>
        </w:rPr>
      </w:pPr>
    </w:p>
    <w:p w14:paraId="3F5BA5F8">
      <w:pPr>
        <w:rPr>
          <w:color w:val="auto"/>
          <w:highlight w:val="none"/>
        </w:rPr>
      </w:pPr>
    </w:p>
    <w:p w14:paraId="59C81E37">
      <w:pPr>
        <w:pStyle w:val="23"/>
        <w:ind w:left="640" w:firstLine="640"/>
        <w:rPr>
          <w:color w:val="auto"/>
          <w:highlight w:val="none"/>
        </w:rPr>
      </w:pPr>
    </w:p>
    <w:p w14:paraId="70D26C1D">
      <w:pPr>
        <w:rPr>
          <w:color w:val="auto"/>
          <w:highlight w:val="none"/>
        </w:rPr>
      </w:pPr>
    </w:p>
    <w:p w14:paraId="2306CA9B">
      <w:pPr>
        <w:jc w:val="center"/>
        <w:rPr>
          <w:rFonts w:eastAsia="仿宋"/>
          <w:color w:val="auto"/>
          <w:highlight w:val="none"/>
        </w:rPr>
      </w:pPr>
      <w:bookmarkStart w:id="56" w:name="_Toc24240"/>
      <w:bookmarkStart w:id="57" w:name="_Toc6209"/>
      <w:bookmarkStart w:id="58" w:name="_Toc28041"/>
      <w:bookmarkStart w:id="59" w:name="_Toc17453"/>
      <w:bookmarkStart w:id="60" w:name="_Toc20642"/>
      <w:bookmarkStart w:id="61" w:name="_Toc25819"/>
      <w:bookmarkStart w:id="62" w:name="_Toc28082"/>
      <w:bookmarkStart w:id="63" w:name="_Toc16416"/>
      <w:bookmarkStart w:id="64" w:name="_Toc14560"/>
      <w:bookmarkStart w:id="65" w:name="_Toc11900"/>
      <w:bookmarkStart w:id="66" w:name="_Toc12302"/>
      <w:bookmarkStart w:id="67" w:name="_Toc6214"/>
      <w:bookmarkStart w:id="68" w:name="_Toc19215"/>
      <w:bookmarkStart w:id="69" w:name="_Toc17267"/>
      <w:bookmarkStart w:id="70" w:name="_Toc4731"/>
      <w:bookmarkStart w:id="71" w:name="_Toc17627"/>
      <w:bookmarkStart w:id="72" w:name="_Toc32421"/>
      <w:bookmarkStart w:id="73" w:name="_Toc5276"/>
      <w:bookmarkStart w:id="74" w:name="_Toc24822"/>
      <w:bookmarkStart w:id="75" w:name="_Toc4968"/>
      <w:r>
        <w:rPr>
          <w:rFonts w:eastAsia="仿宋"/>
          <w:color w:val="auto"/>
          <w:highlight w:val="none"/>
        </w:rPr>
        <w:t>2021</w:t>
      </w:r>
      <w:r>
        <w:rPr>
          <w:rFonts w:hint="eastAsia" w:eastAsia="仿宋"/>
          <w:color w:val="auto"/>
          <w:highlight w:val="none"/>
        </w:rPr>
        <w:t>年</w:t>
      </w:r>
      <w:r>
        <w:rPr>
          <w:rFonts w:hint="eastAsia" w:eastAsia="仿宋"/>
          <w:color w:val="auto"/>
          <w:highlight w:val="none"/>
          <w:lang w:val="en-US" w:eastAsia="zh-CN"/>
        </w:rPr>
        <w:t>6</w:t>
      </w:r>
      <w:r>
        <w:rPr>
          <w:rFonts w:hint="eastAsia" w:eastAsia="仿宋"/>
          <w:color w:val="auto"/>
          <w:highlight w:val="none"/>
        </w:rPr>
        <w:t>月</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43F0430F">
      <w:pPr>
        <w:jc w:val="center"/>
        <w:rPr>
          <w:rFonts w:eastAsia="仿宋"/>
          <w:color w:val="auto"/>
          <w:highlight w:val="none"/>
        </w:rPr>
        <w:sectPr>
          <w:footerReference r:id="rId3" w:type="default"/>
          <w:pgSz w:w="11906" w:h="16838"/>
          <w:pgMar w:top="1440" w:right="1797" w:bottom="1440" w:left="1797" w:header="851" w:footer="992" w:gutter="0"/>
          <w:pgNumType w:start="1"/>
          <w:cols w:space="425" w:num="1"/>
          <w:docGrid w:type="lines" w:linePitch="312" w:charSpace="0"/>
        </w:sectPr>
      </w:pPr>
      <w:r>
        <w:rPr>
          <w:rFonts w:eastAsia="仿宋"/>
          <w:color w:val="auto"/>
          <w:highlight w:val="none"/>
        </w:rPr>
        <w:br w:type="page"/>
      </w:r>
    </w:p>
    <w:p w14:paraId="67CDC070">
      <w:pPr>
        <w:pStyle w:val="37"/>
        <w:ind w:left="160"/>
        <w:outlineLvl w:val="0"/>
        <w:rPr>
          <w:rFonts w:ascii="Times New Roman" w:hAnsi="Times New Roman"/>
          <w:b w:val="0"/>
          <w:color w:val="auto"/>
          <w:sz w:val="44"/>
          <w:szCs w:val="44"/>
          <w:highlight w:val="none"/>
        </w:rPr>
      </w:pPr>
      <w:bookmarkStart w:id="76" w:name="_Toc30466"/>
      <w:bookmarkStart w:id="77" w:name="_Toc18687"/>
      <w:bookmarkStart w:id="78" w:name="_Toc18286"/>
      <w:bookmarkStart w:id="79" w:name="_Toc24832"/>
      <w:bookmarkStart w:id="80" w:name="_Toc20766"/>
      <w:bookmarkStart w:id="81" w:name="_Toc8412"/>
      <w:bookmarkStart w:id="82" w:name="_Toc21785"/>
      <w:bookmarkStart w:id="83" w:name="_Toc16669"/>
      <w:bookmarkStart w:id="84" w:name="_Toc5542"/>
      <w:bookmarkStart w:id="85" w:name="_Toc5455"/>
      <w:bookmarkStart w:id="86" w:name="_Toc15914"/>
      <w:bookmarkStart w:id="87" w:name="_Toc26605"/>
      <w:bookmarkStart w:id="88" w:name="_Toc26883"/>
      <w:bookmarkStart w:id="89" w:name="_Toc12594"/>
      <w:bookmarkStart w:id="90" w:name="_Toc3306"/>
      <w:bookmarkStart w:id="91" w:name="_Toc3408"/>
      <w:bookmarkStart w:id="92" w:name="_Toc7185"/>
      <w:bookmarkStart w:id="93" w:name="_Toc3683"/>
      <w:bookmarkStart w:id="94" w:name="_Toc28033"/>
      <w:bookmarkStart w:id="95" w:name="_Toc2416"/>
      <w:bookmarkStart w:id="96" w:name="_Toc9903"/>
      <w:bookmarkStart w:id="97" w:name="_Toc24936"/>
      <w:bookmarkStart w:id="98" w:name="_Toc22959"/>
      <w:bookmarkStart w:id="99" w:name="_Toc21770"/>
      <w:bookmarkStart w:id="100" w:name="_Toc10692"/>
      <w:r>
        <w:rPr>
          <w:rFonts w:hint="eastAsia" w:ascii="Times New Roman" w:hAnsi="Times New Roman"/>
          <w:color w:val="auto"/>
          <w:sz w:val="44"/>
          <w:szCs w:val="44"/>
          <w:highlight w:val="none"/>
        </w:rPr>
        <w:t>前　言</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7D847C87">
      <w:pPr>
        <w:spacing w:line="440" w:lineRule="exact"/>
        <w:rPr>
          <w:color w:val="auto"/>
          <w:highlight w:val="none"/>
        </w:rPr>
      </w:pPr>
    </w:p>
    <w:p w14:paraId="166EF230">
      <w:pPr>
        <w:spacing w:line="560" w:lineRule="exact"/>
        <w:ind w:firstLine="640" w:firstLineChars="200"/>
        <w:rPr>
          <w:rFonts w:eastAsia="仿宋_GB2312"/>
          <w:color w:val="auto"/>
          <w:highlight w:val="none"/>
        </w:rPr>
      </w:pPr>
      <w:r>
        <w:rPr>
          <w:rFonts w:hint="eastAsia" w:eastAsia="仿宋_GB2312"/>
          <w:color w:val="auto"/>
          <w:highlight w:val="none"/>
          <w:lang w:eastAsia="zh-CN"/>
        </w:rPr>
        <w:t>“</w:t>
      </w:r>
      <w:r>
        <w:rPr>
          <w:rFonts w:hint="eastAsia" w:eastAsia="仿宋_GB2312"/>
          <w:color w:val="auto"/>
          <w:highlight w:val="none"/>
        </w:rPr>
        <w:t>十四五</w:t>
      </w:r>
      <w:r>
        <w:rPr>
          <w:rFonts w:hint="eastAsia" w:eastAsia="仿宋_GB2312"/>
          <w:color w:val="auto"/>
          <w:highlight w:val="none"/>
          <w:lang w:eastAsia="zh-CN"/>
        </w:rPr>
        <w:t>”</w:t>
      </w:r>
      <w:r>
        <w:rPr>
          <w:rFonts w:hint="eastAsia" w:eastAsia="仿宋_GB2312"/>
          <w:color w:val="auto"/>
          <w:highlight w:val="none"/>
        </w:rPr>
        <w:t>时期是我国在全面建成小康社会、实现第一个百年奋斗目标之后，乘势而上开启全面建设社会主义现代化国家新征程、向第二个百年奋斗目标进军的第一个</w:t>
      </w:r>
      <w:r>
        <w:rPr>
          <w:rFonts w:eastAsia="仿宋_GB2312"/>
          <w:color w:val="auto"/>
          <w:highlight w:val="none"/>
        </w:rPr>
        <w:t>5</w:t>
      </w:r>
      <w:r>
        <w:rPr>
          <w:rFonts w:hint="eastAsia" w:eastAsia="仿宋_GB2312"/>
          <w:color w:val="auto"/>
          <w:highlight w:val="none"/>
        </w:rPr>
        <w:t>年，也是</w:t>
      </w:r>
      <w:r>
        <w:rPr>
          <w:rFonts w:hint="eastAsia" w:eastAsia="仿宋_GB2312"/>
          <w:color w:val="auto"/>
          <w:highlight w:val="none"/>
          <w:lang w:eastAsia="zh-CN"/>
        </w:rPr>
        <w:t>秦皇岛加快发展</w:t>
      </w:r>
      <w:r>
        <w:rPr>
          <w:rFonts w:hint="eastAsia" w:eastAsia="仿宋_GB2312"/>
          <w:color w:val="auto"/>
          <w:highlight w:val="none"/>
        </w:rPr>
        <w:t>的关键</w:t>
      </w:r>
      <w:r>
        <w:rPr>
          <w:rFonts w:eastAsia="仿宋_GB2312"/>
          <w:color w:val="auto"/>
          <w:highlight w:val="none"/>
        </w:rPr>
        <w:t>5</w:t>
      </w:r>
      <w:r>
        <w:rPr>
          <w:rFonts w:hint="eastAsia" w:eastAsia="仿宋_GB2312"/>
          <w:color w:val="auto"/>
          <w:highlight w:val="none"/>
        </w:rPr>
        <w:t>年。科学制定并有效实施秦皇岛市国民经济和社会发展第十四个五年规划和</w:t>
      </w:r>
      <w:r>
        <w:rPr>
          <w:rFonts w:eastAsia="仿宋_GB2312"/>
          <w:color w:val="auto"/>
          <w:highlight w:val="none"/>
        </w:rPr>
        <w:t>2035</w:t>
      </w:r>
      <w:r>
        <w:rPr>
          <w:rFonts w:hint="eastAsia" w:eastAsia="仿宋_GB2312"/>
          <w:color w:val="auto"/>
          <w:highlight w:val="none"/>
        </w:rPr>
        <w:t>年远景目标，对于巩固全面建成小康社会成果，全力推动经济社会高质量发展可持续发展，</w:t>
      </w:r>
      <w:r>
        <w:rPr>
          <w:rFonts w:hint="eastAsia" w:eastAsia="仿宋_GB2312"/>
          <w:color w:val="auto"/>
          <w:highlight w:val="none"/>
          <w:lang w:eastAsia="zh-CN"/>
        </w:rPr>
        <w:t>努力打造</w:t>
      </w:r>
      <w:r>
        <w:rPr>
          <w:rFonts w:hint="eastAsia" w:eastAsia="仿宋_GB2312"/>
          <w:color w:val="auto"/>
          <w:highlight w:val="none"/>
        </w:rPr>
        <w:t>环境优美、产业繁荣、文明健康、安全舒适的一流国际旅游城市，</w:t>
      </w:r>
      <w:r>
        <w:rPr>
          <w:rFonts w:hint="eastAsia" w:eastAsia="仿宋_GB2312"/>
          <w:color w:val="auto"/>
          <w:highlight w:val="none"/>
          <w:lang w:eastAsia="zh-CN"/>
        </w:rPr>
        <w:t>为</w:t>
      </w:r>
      <w:r>
        <w:rPr>
          <w:rFonts w:hint="eastAsia" w:eastAsia="仿宋_GB2312"/>
          <w:color w:val="auto"/>
          <w:highlight w:val="none"/>
        </w:rPr>
        <w:t>新时代全面建设现代化国际化沿海强市、美丽港城开好局、起好步具有重要意义。</w:t>
      </w:r>
    </w:p>
    <w:p w14:paraId="600FF97F">
      <w:pPr>
        <w:spacing w:line="560" w:lineRule="exact"/>
        <w:ind w:firstLine="640" w:firstLineChars="200"/>
        <w:rPr>
          <w:rFonts w:eastAsia="仿宋_GB2312"/>
          <w:color w:val="auto"/>
          <w:highlight w:val="none"/>
        </w:rPr>
      </w:pPr>
      <w:r>
        <w:rPr>
          <w:rFonts w:hint="eastAsia" w:eastAsia="仿宋_GB2312"/>
          <w:color w:val="auto"/>
          <w:highlight w:val="none"/>
        </w:rPr>
        <w:t>本规划纲要依据《中共秦皇岛市委关于制定国民经济和社会发展第十四个五年规划和二〇三五年远景目标的建议》编制，主要阐明</w:t>
      </w:r>
      <w:r>
        <w:rPr>
          <w:rFonts w:hint="eastAsia" w:eastAsia="仿宋_GB2312"/>
          <w:color w:val="auto"/>
          <w:highlight w:val="none"/>
          <w:lang w:eastAsia="zh-CN"/>
        </w:rPr>
        <w:t>“</w:t>
      </w:r>
      <w:r>
        <w:rPr>
          <w:rFonts w:hint="eastAsia" w:eastAsia="仿宋_GB2312"/>
          <w:color w:val="auto"/>
          <w:highlight w:val="none"/>
        </w:rPr>
        <w:t>十四五</w:t>
      </w:r>
      <w:r>
        <w:rPr>
          <w:rFonts w:hint="eastAsia" w:eastAsia="仿宋_GB2312"/>
          <w:color w:val="auto"/>
          <w:highlight w:val="none"/>
          <w:lang w:eastAsia="zh-CN"/>
        </w:rPr>
        <w:t>”</w:t>
      </w:r>
      <w:r>
        <w:rPr>
          <w:rFonts w:hint="eastAsia" w:eastAsia="仿宋_GB2312"/>
          <w:color w:val="auto"/>
          <w:highlight w:val="none"/>
        </w:rPr>
        <w:t>期间秦皇岛市国民经济和社会发展的总体要求、目标任务、战略布局和政策取向，明确政府工作重点，是秦皇岛市未来</w:t>
      </w:r>
      <w:r>
        <w:rPr>
          <w:rFonts w:hint="eastAsia" w:eastAsia="仿宋_GB2312"/>
          <w:color w:val="auto"/>
          <w:highlight w:val="none"/>
          <w:lang w:val="en-US" w:eastAsia="zh-CN"/>
        </w:rPr>
        <w:t>5</w:t>
      </w:r>
      <w:r>
        <w:rPr>
          <w:rFonts w:hint="eastAsia" w:eastAsia="仿宋_GB2312"/>
          <w:color w:val="auto"/>
          <w:highlight w:val="none"/>
        </w:rPr>
        <w:t>年经济社会发展的宏伟蓝图和全市人民共同的行动纲领，是政府履行公共服务、市场监管、社会管理、环境保护等职责的重要依据。</w:t>
      </w:r>
    </w:p>
    <w:p w14:paraId="4D95D363">
      <w:pPr>
        <w:spacing w:line="560" w:lineRule="exact"/>
        <w:ind w:firstLine="640" w:firstLineChars="200"/>
        <w:rPr>
          <w:rFonts w:eastAsia="仿宋_GB2312"/>
          <w:color w:val="auto"/>
          <w:highlight w:val="none"/>
        </w:rPr>
      </w:pPr>
      <w:r>
        <w:rPr>
          <w:rFonts w:hint="eastAsia" w:eastAsia="仿宋_GB2312"/>
          <w:color w:val="auto"/>
          <w:highlight w:val="none"/>
        </w:rPr>
        <w:t>规划期为</w:t>
      </w:r>
      <w:r>
        <w:rPr>
          <w:rFonts w:eastAsia="仿宋_GB2312"/>
          <w:color w:val="auto"/>
          <w:highlight w:val="none"/>
        </w:rPr>
        <w:t>2021</w:t>
      </w:r>
      <w:r>
        <w:rPr>
          <w:rFonts w:hint="eastAsia" w:eastAsia="仿宋_GB2312"/>
          <w:color w:val="auto"/>
          <w:highlight w:val="none"/>
          <w:lang w:eastAsia="zh-CN"/>
        </w:rPr>
        <w:t>—</w:t>
      </w:r>
      <w:r>
        <w:rPr>
          <w:rFonts w:eastAsia="仿宋_GB2312"/>
          <w:color w:val="auto"/>
          <w:highlight w:val="none"/>
        </w:rPr>
        <w:t>2025</w:t>
      </w:r>
      <w:r>
        <w:rPr>
          <w:rFonts w:hint="eastAsia" w:eastAsia="仿宋_GB2312"/>
          <w:color w:val="auto"/>
          <w:highlight w:val="none"/>
        </w:rPr>
        <w:t>年，展望到</w:t>
      </w:r>
      <w:r>
        <w:rPr>
          <w:rFonts w:eastAsia="仿宋_GB2312"/>
          <w:color w:val="auto"/>
          <w:highlight w:val="none"/>
        </w:rPr>
        <w:t>2035</w:t>
      </w:r>
      <w:r>
        <w:rPr>
          <w:rFonts w:hint="eastAsia" w:eastAsia="仿宋_GB2312"/>
          <w:color w:val="auto"/>
          <w:highlight w:val="none"/>
        </w:rPr>
        <w:t>年。</w:t>
      </w:r>
    </w:p>
    <w:p w14:paraId="68A350DB">
      <w:pPr>
        <w:rPr>
          <w:rFonts w:eastAsia="仿宋"/>
          <w:color w:val="auto"/>
          <w:highlight w:val="none"/>
        </w:rPr>
      </w:pPr>
    </w:p>
    <w:p w14:paraId="01A7C877">
      <w:pPr>
        <w:widowControl/>
        <w:jc w:val="left"/>
        <w:rPr>
          <w:rFonts w:eastAsia="黑体"/>
          <w:color w:val="auto"/>
          <w:sz w:val="44"/>
          <w:szCs w:val="44"/>
          <w:highlight w:val="none"/>
        </w:rPr>
        <w:sectPr>
          <w:footerReference r:id="rId4" w:type="default"/>
          <w:footerReference r:id="rId5" w:type="even"/>
          <w:pgSz w:w="11906" w:h="16838"/>
          <w:pgMar w:top="1440" w:right="1797" w:bottom="1440" w:left="1797" w:header="851" w:footer="992" w:gutter="0"/>
          <w:pgNumType w:start="1"/>
          <w:cols w:space="425" w:num="1"/>
          <w:docGrid w:type="lines" w:linePitch="312" w:charSpace="0"/>
        </w:sectPr>
      </w:pPr>
      <w:r>
        <w:rPr>
          <w:rFonts w:eastAsia="黑体"/>
          <w:color w:val="auto"/>
          <w:sz w:val="44"/>
          <w:szCs w:val="44"/>
          <w:highlight w:val="none"/>
        </w:rPr>
        <w:br w:type="page"/>
      </w:r>
    </w:p>
    <w:p w14:paraId="0EDAD4C5">
      <w:pPr>
        <w:widowControl/>
        <w:jc w:val="center"/>
        <w:rPr>
          <w:rFonts w:hint="eastAsia" w:eastAsia="黑体"/>
          <w:color w:val="auto"/>
          <w:sz w:val="44"/>
          <w:szCs w:val="44"/>
          <w:highlight w:val="none"/>
        </w:rPr>
      </w:pPr>
    </w:p>
    <w:p w14:paraId="1FA0FE75">
      <w:pPr>
        <w:widowControl/>
        <w:jc w:val="center"/>
        <w:rPr>
          <w:rFonts w:eastAsia="黑体"/>
          <w:color w:val="auto"/>
          <w:sz w:val="44"/>
          <w:szCs w:val="44"/>
          <w:highlight w:val="none"/>
        </w:rPr>
      </w:pPr>
      <w:r>
        <w:rPr>
          <w:rFonts w:hint="eastAsia" w:eastAsia="黑体"/>
          <w:color w:val="auto"/>
          <w:sz w:val="44"/>
          <w:szCs w:val="44"/>
          <w:highlight w:val="none"/>
        </w:rPr>
        <w:t>目</w:t>
      </w:r>
      <w:r>
        <w:rPr>
          <w:rFonts w:eastAsia="黑体"/>
          <w:color w:val="auto"/>
          <w:sz w:val="44"/>
          <w:szCs w:val="44"/>
          <w:highlight w:val="none"/>
        </w:rPr>
        <w:t xml:space="preserve"> </w:t>
      </w:r>
      <w:r>
        <w:rPr>
          <w:rFonts w:hint="eastAsia" w:eastAsia="黑体"/>
          <w:color w:val="auto"/>
          <w:sz w:val="44"/>
          <w:szCs w:val="44"/>
          <w:highlight w:val="none"/>
        </w:rPr>
        <w:t>录</w:t>
      </w:r>
    </w:p>
    <w:p w14:paraId="534F0C58">
      <w:pPr>
        <w:pStyle w:val="14"/>
        <w:tabs>
          <w:tab w:val="right" w:leader="dot" w:pos="8312"/>
        </w:tabs>
        <w:rPr>
          <w:color w:val="auto"/>
          <w:highlight w:val="none"/>
        </w:rPr>
      </w:pPr>
      <w:r>
        <w:rPr>
          <w:color w:val="auto"/>
          <w:sz w:val="28"/>
          <w:szCs w:val="28"/>
          <w:highlight w:val="none"/>
        </w:rPr>
        <w:fldChar w:fldCharType="begin"/>
      </w:r>
      <w:r>
        <w:rPr>
          <w:color w:val="auto"/>
          <w:sz w:val="28"/>
          <w:szCs w:val="28"/>
          <w:highlight w:val="none"/>
        </w:rPr>
        <w:instrText xml:space="preserve">TOC \o "1-3" \h \u </w:instrText>
      </w:r>
      <w:r>
        <w:rPr>
          <w:color w:val="auto"/>
          <w:sz w:val="28"/>
          <w:szCs w:val="28"/>
          <w:highlight w:val="none"/>
        </w:rPr>
        <w:fldChar w:fldCharType="separate"/>
      </w:r>
    </w:p>
    <w:p w14:paraId="54E2CD15">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ind w:left="0" w:leftChars="0" w:firstLine="0" w:firstLineChars="0"/>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_Toc25150 </w:instrText>
      </w:r>
      <w:r>
        <w:rPr>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第一章 发展基础和远景目标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_Toc25150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0349E747">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_Toc1267 </w:instrText>
      </w:r>
      <w:r>
        <w:rPr>
          <w:color w:val="auto"/>
          <w:sz w:val="28"/>
          <w:szCs w:val="28"/>
          <w:highlight w:val="none"/>
        </w:rPr>
        <w:fldChar w:fldCharType="separate"/>
      </w:r>
      <w:r>
        <w:rPr>
          <w:rFonts w:hint="eastAsia" w:eastAsia="黑体"/>
          <w:color w:val="auto"/>
          <w:sz w:val="28"/>
          <w:szCs w:val="28"/>
          <w:highlight w:val="none"/>
        </w:rPr>
        <w:t>一、</w:t>
      </w:r>
      <w:r>
        <w:rPr>
          <w:rFonts w:hint="eastAsia" w:eastAsia="黑体"/>
          <w:color w:val="auto"/>
          <w:sz w:val="28"/>
          <w:szCs w:val="28"/>
          <w:highlight w:val="none"/>
          <w:lang w:eastAsia="zh-CN"/>
        </w:rPr>
        <w:t>“</w:t>
      </w:r>
      <w:r>
        <w:rPr>
          <w:rFonts w:hint="eastAsia" w:eastAsia="黑体"/>
          <w:color w:val="auto"/>
          <w:sz w:val="28"/>
          <w:szCs w:val="28"/>
          <w:highlight w:val="none"/>
        </w:rPr>
        <w:t>十三五</w:t>
      </w:r>
      <w:r>
        <w:rPr>
          <w:rFonts w:hint="eastAsia" w:eastAsia="黑体"/>
          <w:color w:val="auto"/>
          <w:sz w:val="28"/>
          <w:szCs w:val="28"/>
          <w:highlight w:val="none"/>
          <w:lang w:eastAsia="zh-CN"/>
        </w:rPr>
        <w:t>”</w:t>
      </w:r>
      <w:r>
        <w:rPr>
          <w:rFonts w:hint="eastAsia" w:eastAsia="黑体"/>
          <w:color w:val="auto"/>
          <w:sz w:val="28"/>
          <w:szCs w:val="28"/>
          <w:highlight w:val="none"/>
        </w:rPr>
        <w:t>时期经济社会发展取得重大成就</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_Toc1267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6C0352CD">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_Toc10379 </w:instrText>
      </w:r>
      <w:r>
        <w:rPr>
          <w:color w:val="auto"/>
          <w:sz w:val="28"/>
          <w:szCs w:val="28"/>
          <w:highlight w:val="none"/>
        </w:rPr>
        <w:fldChar w:fldCharType="separate"/>
      </w:r>
      <w:r>
        <w:rPr>
          <w:rFonts w:hint="eastAsia" w:eastAsia="楷体"/>
          <w:bCs w:val="0"/>
          <w:color w:val="auto"/>
          <w:sz w:val="28"/>
          <w:szCs w:val="28"/>
          <w:highlight w:val="none"/>
        </w:rPr>
        <w:t>（一）</w:t>
      </w:r>
      <w:r>
        <w:rPr>
          <w:rFonts w:hint="eastAsia" w:eastAsia="楷体"/>
          <w:bCs w:val="0"/>
          <w:color w:val="auto"/>
          <w:sz w:val="28"/>
          <w:szCs w:val="28"/>
          <w:highlight w:val="none"/>
          <w:lang w:val="zh-CN"/>
        </w:rPr>
        <w:t>经济发展实现提速提质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_Toc10379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6A428B0D">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_Toc32540 </w:instrText>
      </w:r>
      <w:r>
        <w:rPr>
          <w:color w:val="auto"/>
          <w:sz w:val="28"/>
          <w:szCs w:val="28"/>
          <w:highlight w:val="none"/>
        </w:rPr>
        <w:fldChar w:fldCharType="separate"/>
      </w:r>
      <w:r>
        <w:rPr>
          <w:rFonts w:hint="eastAsia" w:eastAsia="楷体"/>
          <w:bCs/>
          <w:color w:val="auto"/>
          <w:sz w:val="28"/>
          <w:szCs w:val="28"/>
          <w:highlight w:val="none"/>
        </w:rPr>
        <w:t>（二）</w:t>
      </w:r>
      <w:r>
        <w:rPr>
          <w:rFonts w:hint="eastAsia"/>
          <w:bCs/>
          <w:color w:val="auto"/>
          <w:sz w:val="28"/>
          <w:szCs w:val="28"/>
          <w:highlight w:val="none"/>
        </w:rPr>
        <w:t>结构调整迈向高新高端</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_Toc32540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14:paraId="34BABAE3">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_Toc8714 </w:instrText>
      </w:r>
      <w:r>
        <w:rPr>
          <w:color w:val="auto"/>
          <w:sz w:val="28"/>
          <w:szCs w:val="28"/>
          <w:highlight w:val="none"/>
        </w:rPr>
        <w:fldChar w:fldCharType="separate"/>
      </w:r>
      <w:r>
        <w:rPr>
          <w:rFonts w:hint="eastAsia"/>
          <w:bCs w:val="0"/>
          <w:color w:val="auto"/>
          <w:sz w:val="28"/>
          <w:szCs w:val="28"/>
          <w:highlight w:val="none"/>
        </w:rPr>
        <w:t>（三）三大攻坚战取得决定性成就</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_Toc8714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14:paraId="65B1B229">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_Toc17745 </w:instrText>
      </w:r>
      <w:r>
        <w:rPr>
          <w:color w:val="auto"/>
          <w:sz w:val="28"/>
          <w:szCs w:val="28"/>
          <w:highlight w:val="none"/>
        </w:rPr>
        <w:fldChar w:fldCharType="separate"/>
      </w:r>
      <w:r>
        <w:rPr>
          <w:rFonts w:hint="eastAsia"/>
          <w:bCs w:val="0"/>
          <w:color w:val="auto"/>
          <w:sz w:val="28"/>
          <w:szCs w:val="28"/>
          <w:highlight w:val="none"/>
        </w:rPr>
        <w:t>（四）改革开放创新活力迸发</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_Toc17745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14:paraId="46D607A1">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_Toc30581 </w:instrText>
      </w:r>
      <w:r>
        <w:rPr>
          <w:color w:val="auto"/>
          <w:sz w:val="28"/>
          <w:szCs w:val="28"/>
          <w:highlight w:val="none"/>
        </w:rPr>
        <w:fldChar w:fldCharType="separate"/>
      </w:r>
      <w:r>
        <w:rPr>
          <w:rFonts w:hint="eastAsia"/>
          <w:bCs w:val="0"/>
          <w:color w:val="auto"/>
          <w:sz w:val="28"/>
          <w:szCs w:val="28"/>
          <w:highlight w:val="none"/>
        </w:rPr>
        <w:t>（五）城乡建设面貌品质显著提升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_Toc30581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color w:val="auto"/>
          <w:sz w:val="28"/>
          <w:szCs w:val="28"/>
          <w:highlight w:val="none"/>
        </w:rPr>
        <w:fldChar w:fldCharType="end"/>
      </w:r>
    </w:p>
    <w:p w14:paraId="33EAE0F6">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_Toc3214 </w:instrText>
      </w:r>
      <w:r>
        <w:rPr>
          <w:color w:val="auto"/>
          <w:sz w:val="28"/>
          <w:szCs w:val="28"/>
          <w:highlight w:val="none"/>
        </w:rPr>
        <w:fldChar w:fldCharType="separate"/>
      </w:r>
      <w:r>
        <w:rPr>
          <w:rFonts w:hint="eastAsia"/>
          <w:bCs w:val="0"/>
          <w:color w:val="auto"/>
          <w:sz w:val="28"/>
          <w:szCs w:val="28"/>
          <w:highlight w:val="none"/>
        </w:rPr>
        <w:t>（六）人民生活水平持续提高</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_Toc3214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color w:val="auto"/>
          <w:sz w:val="28"/>
          <w:szCs w:val="28"/>
          <w:highlight w:val="none"/>
        </w:rPr>
        <w:fldChar w:fldCharType="end"/>
      </w:r>
    </w:p>
    <w:p w14:paraId="4471AAB8">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_Toc3173 </w:instrText>
      </w:r>
      <w:r>
        <w:rPr>
          <w:color w:val="auto"/>
          <w:sz w:val="28"/>
          <w:szCs w:val="28"/>
          <w:highlight w:val="none"/>
        </w:rPr>
        <w:fldChar w:fldCharType="separate"/>
      </w:r>
      <w:r>
        <w:rPr>
          <w:rFonts w:hint="eastAsia"/>
          <w:bCs w:val="0"/>
          <w:color w:val="auto"/>
          <w:sz w:val="28"/>
          <w:szCs w:val="28"/>
          <w:highlight w:val="none"/>
        </w:rPr>
        <w:t>（七）社会治理体系和治理能力全面增强</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_Toc3173 </w:instrText>
      </w:r>
      <w:r>
        <w:rPr>
          <w:color w:val="auto"/>
          <w:sz w:val="28"/>
          <w:szCs w:val="28"/>
          <w:highlight w:val="none"/>
        </w:rPr>
        <w:fldChar w:fldCharType="separate"/>
      </w:r>
      <w:r>
        <w:rPr>
          <w:color w:val="auto"/>
          <w:sz w:val="28"/>
          <w:szCs w:val="28"/>
          <w:highlight w:val="none"/>
        </w:rPr>
        <w:t>11</w:t>
      </w:r>
      <w:r>
        <w:rPr>
          <w:color w:val="auto"/>
          <w:sz w:val="28"/>
          <w:szCs w:val="28"/>
          <w:highlight w:val="none"/>
        </w:rPr>
        <w:fldChar w:fldCharType="end"/>
      </w:r>
      <w:r>
        <w:rPr>
          <w:color w:val="auto"/>
          <w:sz w:val="28"/>
          <w:szCs w:val="28"/>
          <w:highlight w:val="none"/>
        </w:rPr>
        <w:fldChar w:fldCharType="end"/>
      </w:r>
    </w:p>
    <w:p w14:paraId="51A8EA65">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_Toc19050 </w:instrText>
      </w:r>
      <w:r>
        <w:rPr>
          <w:color w:val="auto"/>
          <w:sz w:val="28"/>
          <w:szCs w:val="28"/>
          <w:highlight w:val="none"/>
        </w:rPr>
        <w:fldChar w:fldCharType="separate"/>
      </w:r>
      <w:r>
        <w:rPr>
          <w:rFonts w:hint="eastAsia"/>
          <w:bCs w:val="0"/>
          <w:color w:val="auto"/>
          <w:sz w:val="28"/>
          <w:szCs w:val="28"/>
          <w:highlight w:val="none"/>
        </w:rPr>
        <w:t>（八）党的领导全面加强</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_Toc19050 </w:instrText>
      </w:r>
      <w:r>
        <w:rPr>
          <w:color w:val="auto"/>
          <w:sz w:val="28"/>
          <w:szCs w:val="28"/>
          <w:highlight w:val="none"/>
        </w:rPr>
        <w:fldChar w:fldCharType="separate"/>
      </w:r>
      <w:r>
        <w:rPr>
          <w:color w:val="auto"/>
          <w:sz w:val="28"/>
          <w:szCs w:val="28"/>
          <w:highlight w:val="none"/>
        </w:rPr>
        <w:t>12</w:t>
      </w:r>
      <w:r>
        <w:rPr>
          <w:color w:val="auto"/>
          <w:sz w:val="28"/>
          <w:szCs w:val="28"/>
          <w:highlight w:val="none"/>
        </w:rPr>
        <w:fldChar w:fldCharType="end"/>
      </w:r>
      <w:r>
        <w:rPr>
          <w:color w:val="auto"/>
          <w:sz w:val="28"/>
          <w:szCs w:val="28"/>
          <w:highlight w:val="none"/>
        </w:rPr>
        <w:fldChar w:fldCharType="end"/>
      </w:r>
    </w:p>
    <w:p w14:paraId="5AF27582">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_Toc9964 </w:instrText>
      </w:r>
      <w:r>
        <w:rPr>
          <w:color w:val="auto"/>
          <w:sz w:val="28"/>
          <w:szCs w:val="28"/>
          <w:highlight w:val="none"/>
        </w:rPr>
        <w:fldChar w:fldCharType="separate"/>
      </w:r>
      <w:r>
        <w:rPr>
          <w:rFonts w:hint="eastAsia" w:eastAsia="黑体"/>
          <w:bCs/>
          <w:color w:val="auto"/>
          <w:sz w:val="28"/>
          <w:szCs w:val="28"/>
          <w:highlight w:val="none"/>
        </w:rPr>
        <w:t>二、</w:t>
      </w:r>
      <w:r>
        <w:rPr>
          <w:rFonts w:hint="eastAsia" w:eastAsia="黑体"/>
          <w:bCs/>
          <w:color w:val="auto"/>
          <w:sz w:val="28"/>
          <w:szCs w:val="28"/>
          <w:highlight w:val="none"/>
          <w:lang w:eastAsia="zh-CN"/>
        </w:rPr>
        <w:t>“</w:t>
      </w:r>
      <w:r>
        <w:rPr>
          <w:rFonts w:hint="eastAsia" w:eastAsia="黑体"/>
          <w:bCs/>
          <w:color w:val="auto"/>
          <w:sz w:val="28"/>
          <w:szCs w:val="28"/>
          <w:highlight w:val="none"/>
        </w:rPr>
        <w:t>十四五</w:t>
      </w:r>
      <w:r>
        <w:rPr>
          <w:rFonts w:hint="eastAsia" w:eastAsia="黑体"/>
          <w:bCs/>
          <w:color w:val="auto"/>
          <w:sz w:val="28"/>
          <w:szCs w:val="28"/>
          <w:highlight w:val="none"/>
          <w:lang w:eastAsia="zh-CN"/>
        </w:rPr>
        <w:t>”</w:t>
      </w:r>
      <w:r>
        <w:rPr>
          <w:rFonts w:hint="eastAsia" w:eastAsia="黑体"/>
          <w:bCs/>
          <w:color w:val="auto"/>
          <w:sz w:val="28"/>
          <w:szCs w:val="28"/>
          <w:highlight w:val="none"/>
        </w:rPr>
        <w:t>时期面临形势发生深刻变化</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_Toc9964 </w:instrText>
      </w:r>
      <w:r>
        <w:rPr>
          <w:color w:val="auto"/>
          <w:sz w:val="28"/>
          <w:szCs w:val="28"/>
          <w:highlight w:val="none"/>
        </w:rPr>
        <w:fldChar w:fldCharType="separate"/>
      </w:r>
      <w:r>
        <w:rPr>
          <w:color w:val="auto"/>
          <w:sz w:val="28"/>
          <w:szCs w:val="28"/>
          <w:highlight w:val="none"/>
        </w:rPr>
        <w:t>13</w:t>
      </w:r>
      <w:r>
        <w:rPr>
          <w:color w:val="auto"/>
          <w:sz w:val="28"/>
          <w:szCs w:val="28"/>
          <w:highlight w:val="none"/>
        </w:rPr>
        <w:fldChar w:fldCharType="end"/>
      </w:r>
      <w:r>
        <w:rPr>
          <w:color w:val="auto"/>
          <w:sz w:val="28"/>
          <w:szCs w:val="28"/>
          <w:highlight w:val="none"/>
        </w:rPr>
        <w:fldChar w:fldCharType="end"/>
      </w:r>
    </w:p>
    <w:p w14:paraId="0BD840E8">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_Toc8225 </w:instrText>
      </w:r>
      <w:r>
        <w:rPr>
          <w:color w:val="auto"/>
          <w:sz w:val="28"/>
          <w:szCs w:val="28"/>
          <w:highlight w:val="none"/>
        </w:rPr>
        <w:fldChar w:fldCharType="separate"/>
      </w:r>
      <w:r>
        <w:rPr>
          <w:rFonts w:hint="eastAsia" w:eastAsia="楷体"/>
          <w:bCs/>
          <w:color w:val="auto"/>
          <w:sz w:val="28"/>
          <w:szCs w:val="28"/>
          <w:highlight w:val="none"/>
        </w:rPr>
        <w:t>（一）国际国内环境</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_Toc8225 </w:instrText>
      </w:r>
      <w:r>
        <w:rPr>
          <w:color w:val="auto"/>
          <w:sz w:val="28"/>
          <w:szCs w:val="28"/>
          <w:highlight w:val="none"/>
        </w:rPr>
        <w:fldChar w:fldCharType="separate"/>
      </w:r>
      <w:r>
        <w:rPr>
          <w:color w:val="auto"/>
          <w:sz w:val="28"/>
          <w:szCs w:val="28"/>
          <w:highlight w:val="none"/>
        </w:rPr>
        <w:t>14</w:t>
      </w:r>
      <w:r>
        <w:rPr>
          <w:color w:val="auto"/>
          <w:sz w:val="28"/>
          <w:szCs w:val="28"/>
          <w:highlight w:val="none"/>
        </w:rPr>
        <w:fldChar w:fldCharType="end"/>
      </w:r>
      <w:r>
        <w:rPr>
          <w:color w:val="auto"/>
          <w:sz w:val="28"/>
          <w:szCs w:val="28"/>
          <w:highlight w:val="none"/>
        </w:rPr>
        <w:fldChar w:fldCharType="end"/>
      </w:r>
    </w:p>
    <w:p w14:paraId="5734FD11">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_Toc20738 </w:instrText>
      </w:r>
      <w:r>
        <w:rPr>
          <w:color w:val="auto"/>
          <w:sz w:val="28"/>
          <w:szCs w:val="28"/>
          <w:highlight w:val="none"/>
        </w:rPr>
        <w:fldChar w:fldCharType="separate"/>
      </w:r>
      <w:r>
        <w:rPr>
          <w:rFonts w:hint="eastAsia" w:eastAsia="楷体"/>
          <w:bCs/>
          <w:color w:val="auto"/>
          <w:sz w:val="28"/>
          <w:szCs w:val="28"/>
          <w:highlight w:val="none"/>
        </w:rPr>
        <w:t>（二）重大机遇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_Toc20738 </w:instrText>
      </w:r>
      <w:r>
        <w:rPr>
          <w:color w:val="auto"/>
          <w:sz w:val="28"/>
          <w:szCs w:val="28"/>
          <w:highlight w:val="none"/>
        </w:rPr>
        <w:fldChar w:fldCharType="separate"/>
      </w:r>
      <w:r>
        <w:rPr>
          <w:color w:val="auto"/>
          <w:sz w:val="28"/>
          <w:szCs w:val="28"/>
          <w:highlight w:val="none"/>
        </w:rPr>
        <w:t>15</w:t>
      </w:r>
      <w:r>
        <w:rPr>
          <w:color w:val="auto"/>
          <w:sz w:val="28"/>
          <w:szCs w:val="28"/>
          <w:highlight w:val="none"/>
        </w:rPr>
        <w:fldChar w:fldCharType="end"/>
      </w:r>
      <w:r>
        <w:rPr>
          <w:color w:val="auto"/>
          <w:sz w:val="28"/>
          <w:szCs w:val="28"/>
          <w:highlight w:val="none"/>
        </w:rPr>
        <w:fldChar w:fldCharType="end"/>
      </w:r>
    </w:p>
    <w:p w14:paraId="42D4181D">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_Toc20174 </w:instrText>
      </w:r>
      <w:r>
        <w:rPr>
          <w:color w:val="auto"/>
          <w:sz w:val="28"/>
          <w:szCs w:val="28"/>
          <w:highlight w:val="none"/>
        </w:rPr>
        <w:fldChar w:fldCharType="separate"/>
      </w:r>
      <w:r>
        <w:rPr>
          <w:rFonts w:hint="eastAsia" w:eastAsia="楷体"/>
          <w:bCs/>
          <w:color w:val="auto"/>
          <w:sz w:val="28"/>
          <w:szCs w:val="28"/>
          <w:highlight w:val="none"/>
        </w:rPr>
        <w:t>（三）面临挑战</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_Toc20174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color w:val="auto"/>
          <w:sz w:val="28"/>
          <w:szCs w:val="28"/>
          <w:highlight w:val="none"/>
        </w:rPr>
        <w:fldChar w:fldCharType="end"/>
      </w:r>
    </w:p>
    <w:p w14:paraId="70C4C425">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_Toc12882 </w:instrText>
      </w:r>
      <w:r>
        <w:rPr>
          <w:color w:val="auto"/>
          <w:sz w:val="28"/>
          <w:szCs w:val="28"/>
          <w:highlight w:val="none"/>
        </w:rPr>
        <w:fldChar w:fldCharType="separate"/>
      </w:r>
      <w:r>
        <w:rPr>
          <w:rFonts w:hint="eastAsia" w:eastAsia="黑体"/>
          <w:color w:val="auto"/>
          <w:sz w:val="28"/>
          <w:szCs w:val="28"/>
          <w:highlight w:val="none"/>
        </w:rPr>
        <w:t>三、远景展望</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_Toc12882 </w:instrText>
      </w:r>
      <w:r>
        <w:rPr>
          <w:color w:val="auto"/>
          <w:sz w:val="28"/>
          <w:szCs w:val="28"/>
          <w:highlight w:val="none"/>
        </w:rPr>
        <w:fldChar w:fldCharType="separate"/>
      </w:r>
      <w:r>
        <w:rPr>
          <w:color w:val="auto"/>
          <w:sz w:val="28"/>
          <w:szCs w:val="28"/>
          <w:highlight w:val="none"/>
        </w:rPr>
        <w:t>19</w:t>
      </w:r>
      <w:r>
        <w:rPr>
          <w:color w:val="auto"/>
          <w:sz w:val="28"/>
          <w:szCs w:val="28"/>
          <w:highlight w:val="none"/>
        </w:rPr>
        <w:fldChar w:fldCharType="end"/>
      </w:r>
      <w:r>
        <w:rPr>
          <w:color w:val="auto"/>
          <w:sz w:val="28"/>
          <w:szCs w:val="28"/>
          <w:highlight w:val="none"/>
        </w:rPr>
        <w:fldChar w:fldCharType="end"/>
      </w:r>
    </w:p>
    <w:p w14:paraId="7C3F0A00">
      <w:pPr>
        <w:pStyle w:val="13"/>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_Toc1665 </w:instrText>
      </w:r>
      <w:r>
        <w:rPr>
          <w:color w:val="auto"/>
          <w:sz w:val="28"/>
          <w:szCs w:val="28"/>
          <w:highlight w:val="none"/>
        </w:rPr>
        <w:fldChar w:fldCharType="separate"/>
      </w:r>
      <w:r>
        <w:rPr>
          <w:rFonts w:hint="eastAsia" w:asciiTheme="minorEastAsia" w:hAnsiTheme="minorEastAsia" w:eastAsiaTheme="minorEastAsia" w:cstheme="minorEastAsia"/>
          <w:b/>
          <w:bCs/>
          <w:color w:val="auto"/>
          <w:kern w:val="2"/>
          <w:sz w:val="28"/>
          <w:szCs w:val="28"/>
          <w:highlight w:val="none"/>
          <w:lang w:val="en-US" w:eastAsia="zh-CN" w:bidi="ar-SA"/>
        </w:rPr>
        <w:t>第二章 “十四五”时期经济社会发展总体要求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_Toc1665 </w:instrText>
      </w:r>
      <w:r>
        <w:rPr>
          <w:color w:val="auto"/>
          <w:sz w:val="28"/>
          <w:szCs w:val="28"/>
          <w:highlight w:val="none"/>
        </w:rPr>
        <w:fldChar w:fldCharType="separate"/>
      </w:r>
      <w:r>
        <w:rPr>
          <w:color w:val="auto"/>
          <w:sz w:val="28"/>
          <w:szCs w:val="28"/>
          <w:highlight w:val="none"/>
        </w:rPr>
        <w:t>20</w:t>
      </w:r>
      <w:r>
        <w:rPr>
          <w:color w:val="auto"/>
          <w:sz w:val="28"/>
          <w:szCs w:val="28"/>
          <w:highlight w:val="none"/>
        </w:rPr>
        <w:fldChar w:fldCharType="end"/>
      </w:r>
      <w:r>
        <w:rPr>
          <w:color w:val="auto"/>
          <w:sz w:val="28"/>
          <w:szCs w:val="28"/>
          <w:highlight w:val="none"/>
        </w:rPr>
        <w:fldChar w:fldCharType="end"/>
      </w:r>
    </w:p>
    <w:p w14:paraId="4DA93FE7">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_Toc3439 </w:instrText>
      </w:r>
      <w:r>
        <w:rPr>
          <w:color w:val="auto"/>
          <w:sz w:val="28"/>
          <w:szCs w:val="28"/>
          <w:highlight w:val="none"/>
        </w:rPr>
        <w:fldChar w:fldCharType="separate"/>
      </w:r>
      <w:r>
        <w:rPr>
          <w:rFonts w:hint="eastAsia" w:eastAsia="黑体"/>
          <w:color w:val="auto"/>
          <w:sz w:val="28"/>
          <w:szCs w:val="28"/>
          <w:highlight w:val="none"/>
        </w:rPr>
        <w:t>一、指导思想</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_Toc3439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color w:val="auto"/>
          <w:sz w:val="28"/>
          <w:szCs w:val="28"/>
          <w:highlight w:val="none"/>
        </w:rPr>
        <w:fldChar w:fldCharType="end"/>
      </w:r>
    </w:p>
    <w:p w14:paraId="203F5385">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_Toc12068 </w:instrText>
      </w:r>
      <w:r>
        <w:rPr>
          <w:color w:val="auto"/>
          <w:sz w:val="28"/>
          <w:szCs w:val="28"/>
          <w:highlight w:val="none"/>
        </w:rPr>
        <w:fldChar w:fldCharType="separate"/>
      </w:r>
      <w:r>
        <w:rPr>
          <w:rFonts w:hint="eastAsia" w:eastAsia="黑体"/>
          <w:color w:val="auto"/>
          <w:sz w:val="28"/>
          <w:szCs w:val="28"/>
          <w:highlight w:val="none"/>
        </w:rPr>
        <w:t>二、战略导向</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_Toc12068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color w:val="auto"/>
          <w:sz w:val="28"/>
          <w:szCs w:val="28"/>
          <w:highlight w:val="none"/>
        </w:rPr>
        <w:fldChar w:fldCharType="end"/>
      </w:r>
    </w:p>
    <w:p w14:paraId="21FA9FE2">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_Toc9148 </w:instrText>
      </w:r>
      <w:r>
        <w:rPr>
          <w:color w:val="auto"/>
          <w:sz w:val="28"/>
          <w:szCs w:val="28"/>
          <w:highlight w:val="none"/>
        </w:rPr>
        <w:fldChar w:fldCharType="separate"/>
      </w:r>
      <w:r>
        <w:rPr>
          <w:rFonts w:hint="eastAsia" w:eastAsia="黑体"/>
          <w:color w:val="auto"/>
          <w:sz w:val="28"/>
          <w:szCs w:val="28"/>
          <w:highlight w:val="none"/>
        </w:rPr>
        <w:t>三、基本原则</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_Toc9148 </w:instrText>
      </w:r>
      <w:r>
        <w:rPr>
          <w:color w:val="auto"/>
          <w:sz w:val="28"/>
          <w:szCs w:val="28"/>
          <w:highlight w:val="none"/>
        </w:rPr>
        <w:fldChar w:fldCharType="separate"/>
      </w:r>
      <w:r>
        <w:rPr>
          <w:color w:val="auto"/>
          <w:sz w:val="28"/>
          <w:szCs w:val="28"/>
          <w:highlight w:val="none"/>
        </w:rPr>
        <w:t>22</w:t>
      </w:r>
      <w:r>
        <w:rPr>
          <w:color w:val="auto"/>
          <w:sz w:val="28"/>
          <w:szCs w:val="28"/>
          <w:highlight w:val="none"/>
        </w:rPr>
        <w:fldChar w:fldCharType="end"/>
      </w:r>
      <w:r>
        <w:rPr>
          <w:color w:val="auto"/>
          <w:sz w:val="28"/>
          <w:szCs w:val="28"/>
          <w:highlight w:val="none"/>
        </w:rPr>
        <w:fldChar w:fldCharType="end"/>
      </w:r>
    </w:p>
    <w:p w14:paraId="03E155DD">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_Toc316 </w:instrText>
      </w:r>
      <w:r>
        <w:rPr>
          <w:color w:val="auto"/>
          <w:sz w:val="28"/>
          <w:szCs w:val="28"/>
          <w:highlight w:val="none"/>
        </w:rPr>
        <w:fldChar w:fldCharType="separate"/>
      </w:r>
      <w:r>
        <w:rPr>
          <w:rFonts w:hint="eastAsia" w:eastAsia="黑体"/>
          <w:color w:val="auto"/>
          <w:sz w:val="28"/>
          <w:szCs w:val="28"/>
          <w:highlight w:val="none"/>
        </w:rPr>
        <w:t>四、发展目标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_Toc316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color w:val="auto"/>
          <w:sz w:val="28"/>
          <w:szCs w:val="28"/>
          <w:highlight w:val="none"/>
        </w:rPr>
        <w:fldChar w:fldCharType="end"/>
      </w:r>
    </w:p>
    <w:p w14:paraId="6C58A94B">
      <w:pPr>
        <w:pStyle w:val="13"/>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_Toc7566 </w:instrText>
      </w:r>
      <w:r>
        <w:rPr>
          <w:color w:val="auto"/>
          <w:sz w:val="28"/>
          <w:szCs w:val="28"/>
          <w:highlight w:val="none"/>
        </w:rPr>
        <w:fldChar w:fldCharType="separate"/>
      </w:r>
      <w:r>
        <w:rPr>
          <w:rFonts w:hint="eastAsia" w:asciiTheme="minorEastAsia" w:hAnsiTheme="minorEastAsia" w:eastAsiaTheme="minorEastAsia" w:cstheme="minorEastAsia"/>
          <w:b/>
          <w:bCs/>
          <w:color w:val="auto"/>
          <w:kern w:val="2"/>
          <w:sz w:val="28"/>
          <w:szCs w:val="28"/>
          <w:highlight w:val="none"/>
          <w:lang w:val="en-US" w:eastAsia="zh-CN" w:bidi="ar-SA"/>
        </w:rPr>
        <w:t>第三章 贯彻新发展理念，构建现代产业体系</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_Toc7566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color w:val="auto"/>
          <w:sz w:val="28"/>
          <w:szCs w:val="28"/>
          <w:highlight w:val="none"/>
        </w:rPr>
        <w:fldChar w:fldCharType="end"/>
      </w:r>
    </w:p>
    <w:p w14:paraId="7C7B780A">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_Toc13843 </w:instrText>
      </w:r>
      <w:r>
        <w:rPr>
          <w:color w:val="auto"/>
          <w:sz w:val="28"/>
          <w:szCs w:val="28"/>
          <w:highlight w:val="none"/>
        </w:rPr>
        <w:fldChar w:fldCharType="separate"/>
      </w:r>
      <w:r>
        <w:rPr>
          <w:rFonts w:hint="eastAsia" w:eastAsia="黑体"/>
          <w:color w:val="auto"/>
          <w:sz w:val="28"/>
          <w:szCs w:val="28"/>
          <w:highlight w:val="none"/>
        </w:rPr>
        <w:t>一、</w:t>
      </w:r>
      <w:r>
        <w:rPr>
          <w:rFonts w:hint="eastAsia" w:eastAsia="黑体"/>
          <w:color w:val="auto"/>
          <w:sz w:val="28"/>
          <w:szCs w:val="28"/>
          <w:highlight w:val="none"/>
          <w:lang w:eastAsia="zh-CN"/>
        </w:rPr>
        <w:t>加快</w:t>
      </w:r>
      <w:r>
        <w:rPr>
          <w:rFonts w:hint="eastAsia" w:eastAsia="黑体"/>
          <w:color w:val="auto"/>
          <w:sz w:val="28"/>
          <w:szCs w:val="28"/>
          <w:highlight w:val="none"/>
        </w:rPr>
        <w:t>建设制造强市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_Toc13843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color w:val="auto"/>
          <w:sz w:val="28"/>
          <w:szCs w:val="28"/>
          <w:highlight w:val="none"/>
        </w:rPr>
        <w:fldChar w:fldCharType="end"/>
      </w:r>
    </w:p>
    <w:p w14:paraId="6200B80F">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_Toc16457 </w:instrText>
      </w:r>
      <w:r>
        <w:rPr>
          <w:color w:val="auto"/>
          <w:sz w:val="28"/>
          <w:szCs w:val="28"/>
          <w:highlight w:val="none"/>
        </w:rPr>
        <w:fldChar w:fldCharType="separate"/>
      </w:r>
      <w:r>
        <w:rPr>
          <w:rFonts w:hint="eastAsia"/>
          <w:bCs w:val="0"/>
          <w:color w:val="auto"/>
          <w:sz w:val="28"/>
          <w:szCs w:val="28"/>
          <w:highlight w:val="none"/>
        </w:rPr>
        <w:t>（一）装备制造</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_Toc16457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color w:val="auto"/>
          <w:sz w:val="28"/>
          <w:szCs w:val="28"/>
          <w:highlight w:val="none"/>
        </w:rPr>
        <w:fldChar w:fldCharType="end"/>
      </w:r>
    </w:p>
    <w:p w14:paraId="746A9D76">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_Toc4553 </w:instrText>
      </w:r>
      <w:r>
        <w:rPr>
          <w:color w:val="auto"/>
          <w:sz w:val="28"/>
          <w:szCs w:val="28"/>
          <w:highlight w:val="none"/>
        </w:rPr>
        <w:fldChar w:fldCharType="separate"/>
      </w:r>
      <w:r>
        <w:rPr>
          <w:rFonts w:hint="eastAsia"/>
          <w:bCs w:val="0"/>
          <w:color w:val="auto"/>
          <w:sz w:val="28"/>
          <w:szCs w:val="28"/>
          <w:highlight w:val="none"/>
        </w:rPr>
        <w:t>（二）金属压延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_Toc4553 </w:instrText>
      </w:r>
      <w:r>
        <w:rPr>
          <w:color w:val="auto"/>
          <w:sz w:val="28"/>
          <w:szCs w:val="28"/>
          <w:highlight w:val="none"/>
        </w:rPr>
        <w:fldChar w:fldCharType="separate"/>
      </w:r>
      <w:r>
        <w:rPr>
          <w:color w:val="auto"/>
          <w:sz w:val="28"/>
          <w:szCs w:val="28"/>
          <w:highlight w:val="none"/>
        </w:rPr>
        <w:t>28</w:t>
      </w:r>
      <w:r>
        <w:rPr>
          <w:color w:val="auto"/>
          <w:sz w:val="28"/>
          <w:szCs w:val="28"/>
          <w:highlight w:val="none"/>
        </w:rPr>
        <w:fldChar w:fldCharType="end"/>
      </w:r>
      <w:r>
        <w:rPr>
          <w:color w:val="auto"/>
          <w:sz w:val="28"/>
          <w:szCs w:val="28"/>
          <w:highlight w:val="none"/>
        </w:rPr>
        <w:fldChar w:fldCharType="end"/>
      </w:r>
    </w:p>
    <w:p w14:paraId="3D5D68E2">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_Toc19086 </w:instrText>
      </w:r>
      <w:r>
        <w:rPr>
          <w:color w:val="auto"/>
          <w:sz w:val="28"/>
          <w:szCs w:val="28"/>
          <w:highlight w:val="none"/>
        </w:rPr>
        <w:fldChar w:fldCharType="separate"/>
      </w:r>
      <w:r>
        <w:rPr>
          <w:rFonts w:hint="eastAsia"/>
          <w:bCs w:val="0"/>
          <w:color w:val="auto"/>
          <w:sz w:val="28"/>
          <w:szCs w:val="28"/>
          <w:highlight w:val="none"/>
        </w:rPr>
        <w:t>（三）食品加工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_Toc19086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color w:val="auto"/>
          <w:sz w:val="28"/>
          <w:szCs w:val="28"/>
          <w:highlight w:val="none"/>
        </w:rPr>
        <w:fldChar w:fldCharType="end"/>
      </w:r>
    </w:p>
    <w:p w14:paraId="2E09E04A">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_Toc24418 </w:instrText>
      </w:r>
      <w:r>
        <w:rPr>
          <w:color w:val="auto"/>
          <w:sz w:val="28"/>
          <w:szCs w:val="28"/>
          <w:highlight w:val="none"/>
        </w:rPr>
        <w:fldChar w:fldCharType="separate"/>
      </w:r>
      <w:r>
        <w:rPr>
          <w:rFonts w:hint="eastAsia"/>
          <w:bCs w:val="0"/>
          <w:color w:val="auto"/>
          <w:sz w:val="28"/>
          <w:szCs w:val="28"/>
          <w:highlight w:val="none"/>
        </w:rPr>
        <w:t>（四）绿色建筑及节能环保</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_Toc24418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color w:val="auto"/>
          <w:sz w:val="28"/>
          <w:szCs w:val="28"/>
          <w:highlight w:val="none"/>
        </w:rPr>
        <w:fldChar w:fldCharType="end"/>
      </w:r>
    </w:p>
    <w:p w14:paraId="726DDACD">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_Toc20147 </w:instrText>
      </w:r>
      <w:r>
        <w:rPr>
          <w:color w:val="auto"/>
          <w:sz w:val="28"/>
          <w:szCs w:val="28"/>
          <w:highlight w:val="none"/>
        </w:rPr>
        <w:fldChar w:fldCharType="separate"/>
      </w:r>
      <w:r>
        <w:rPr>
          <w:rFonts w:hint="eastAsia"/>
          <w:bCs w:val="0"/>
          <w:color w:val="auto"/>
          <w:sz w:val="28"/>
          <w:szCs w:val="28"/>
          <w:highlight w:val="none"/>
        </w:rPr>
        <w:t>（五）信息智能</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_Toc20147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color w:val="auto"/>
          <w:sz w:val="28"/>
          <w:szCs w:val="28"/>
          <w:highlight w:val="none"/>
        </w:rPr>
        <w:fldChar w:fldCharType="end"/>
      </w:r>
    </w:p>
    <w:p w14:paraId="31809DF9">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_Toc30153 </w:instrText>
      </w:r>
      <w:r>
        <w:rPr>
          <w:color w:val="auto"/>
          <w:sz w:val="28"/>
          <w:szCs w:val="28"/>
          <w:highlight w:val="none"/>
        </w:rPr>
        <w:fldChar w:fldCharType="separate"/>
      </w:r>
      <w:r>
        <w:rPr>
          <w:rFonts w:hint="eastAsia" w:eastAsia="黑体"/>
          <w:color w:val="auto"/>
          <w:sz w:val="28"/>
          <w:szCs w:val="28"/>
          <w:highlight w:val="none"/>
        </w:rPr>
        <w:t>二、加快发展</w:t>
      </w:r>
      <w:r>
        <w:rPr>
          <w:rFonts w:hint="eastAsia" w:eastAsia="黑体"/>
          <w:color w:val="auto"/>
          <w:sz w:val="28"/>
          <w:szCs w:val="28"/>
          <w:highlight w:val="none"/>
          <w:lang w:eastAsia="zh-CN"/>
        </w:rPr>
        <w:t>城市特色产业</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_Toc30153 </w:instrText>
      </w:r>
      <w:r>
        <w:rPr>
          <w:color w:val="auto"/>
          <w:sz w:val="28"/>
          <w:szCs w:val="28"/>
          <w:highlight w:val="none"/>
        </w:rPr>
        <w:fldChar w:fldCharType="separate"/>
      </w:r>
      <w:r>
        <w:rPr>
          <w:color w:val="auto"/>
          <w:sz w:val="28"/>
          <w:szCs w:val="28"/>
          <w:highlight w:val="none"/>
        </w:rPr>
        <w:t>32</w:t>
      </w:r>
      <w:r>
        <w:rPr>
          <w:color w:val="auto"/>
          <w:sz w:val="28"/>
          <w:szCs w:val="28"/>
          <w:highlight w:val="none"/>
        </w:rPr>
        <w:fldChar w:fldCharType="end"/>
      </w:r>
      <w:r>
        <w:rPr>
          <w:color w:val="auto"/>
          <w:sz w:val="28"/>
          <w:szCs w:val="28"/>
          <w:highlight w:val="none"/>
        </w:rPr>
        <w:fldChar w:fldCharType="end"/>
      </w:r>
    </w:p>
    <w:p w14:paraId="38EBA675">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_Toc26137 </w:instrText>
      </w:r>
      <w:r>
        <w:rPr>
          <w:color w:val="auto"/>
          <w:sz w:val="28"/>
          <w:szCs w:val="28"/>
          <w:highlight w:val="none"/>
        </w:rPr>
        <w:fldChar w:fldCharType="separate"/>
      </w:r>
      <w:r>
        <w:rPr>
          <w:rFonts w:hint="eastAsia"/>
          <w:bCs w:val="0"/>
          <w:color w:val="auto"/>
          <w:sz w:val="28"/>
          <w:szCs w:val="28"/>
          <w:highlight w:val="none"/>
        </w:rPr>
        <w:t>（一）生命健康</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_Toc26137 </w:instrText>
      </w:r>
      <w:r>
        <w:rPr>
          <w:color w:val="auto"/>
          <w:sz w:val="28"/>
          <w:szCs w:val="28"/>
          <w:highlight w:val="none"/>
        </w:rPr>
        <w:fldChar w:fldCharType="separate"/>
      </w:r>
      <w:r>
        <w:rPr>
          <w:color w:val="auto"/>
          <w:sz w:val="28"/>
          <w:szCs w:val="28"/>
          <w:highlight w:val="none"/>
        </w:rPr>
        <w:t>32</w:t>
      </w:r>
      <w:r>
        <w:rPr>
          <w:color w:val="auto"/>
          <w:sz w:val="28"/>
          <w:szCs w:val="28"/>
          <w:highlight w:val="none"/>
        </w:rPr>
        <w:fldChar w:fldCharType="end"/>
      </w:r>
      <w:r>
        <w:rPr>
          <w:color w:val="auto"/>
          <w:sz w:val="28"/>
          <w:szCs w:val="28"/>
          <w:highlight w:val="none"/>
        </w:rPr>
        <w:fldChar w:fldCharType="end"/>
      </w:r>
    </w:p>
    <w:p w14:paraId="05AD4DAC">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_Toc22109 </w:instrText>
      </w:r>
      <w:r>
        <w:rPr>
          <w:color w:val="auto"/>
          <w:sz w:val="28"/>
          <w:szCs w:val="28"/>
          <w:highlight w:val="none"/>
        </w:rPr>
        <w:fldChar w:fldCharType="separate"/>
      </w:r>
      <w:r>
        <w:rPr>
          <w:rFonts w:hint="eastAsia"/>
          <w:bCs w:val="0"/>
          <w:color w:val="auto"/>
          <w:sz w:val="28"/>
          <w:szCs w:val="28"/>
          <w:highlight w:val="none"/>
        </w:rPr>
        <w:t>（二）文体旅游</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_Toc22109 </w:instrText>
      </w:r>
      <w:r>
        <w:rPr>
          <w:color w:val="auto"/>
          <w:sz w:val="28"/>
          <w:szCs w:val="28"/>
          <w:highlight w:val="none"/>
        </w:rPr>
        <w:fldChar w:fldCharType="separate"/>
      </w:r>
      <w:r>
        <w:rPr>
          <w:color w:val="auto"/>
          <w:sz w:val="28"/>
          <w:szCs w:val="28"/>
          <w:highlight w:val="none"/>
        </w:rPr>
        <w:t>33</w:t>
      </w:r>
      <w:r>
        <w:rPr>
          <w:color w:val="auto"/>
          <w:sz w:val="28"/>
          <w:szCs w:val="28"/>
          <w:highlight w:val="none"/>
        </w:rPr>
        <w:fldChar w:fldCharType="end"/>
      </w:r>
      <w:r>
        <w:rPr>
          <w:color w:val="auto"/>
          <w:sz w:val="28"/>
          <w:szCs w:val="28"/>
          <w:highlight w:val="none"/>
        </w:rPr>
        <w:fldChar w:fldCharType="end"/>
      </w:r>
    </w:p>
    <w:p w14:paraId="1813E26B">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_Toc11299 </w:instrText>
      </w:r>
      <w:r>
        <w:rPr>
          <w:color w:val="auto"/>
          <w:sz w:val="28"/>
          <w:szCs w:val="28"/>
          <w:highlight w:val="none"/>
        </w:rPr>
        <w:fldChar w:fldCharType="separate"/>
      </w:r>
      <w:r>
        <w:rPr>
          <w:rFonts w:hint="eastAsia"/>
          <w:bCs w:val="0"/>
          <w:color w:val="auto"/>
          <w:sz w:val="28"/>
          <w:szCs w:val="28"/>
          <w:highlight w:val="none"/>
        </w:rPr>
        <w:t>（三）临港物流</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_Toc11299 </w:instrText>
      </w:r>
      <w:r>
        <w:rPr>
          <w:color w:val="auto"/>
          <w:sz w:val="28"/>
          <w:szCs w:val="28"/>
          <w:highlight w:val="none"/>
        </w:rPr>
        <w:fldChar w:fldCharType="separate"/>
      </w:r>
      <w:r>
        <w:rPr>
          <w:color w:val="auto"/>
          <w:sz w:val="28"/>
          <w:szCs w:val="28"/>
          <w:highlight w:val="none"/>
        </w:rPr>
        <w:t>34</w:t>
      </w:r>
      <w:r>
        <w:rPr>
          <w:color w:val="auto"/>
          <w:sz w:val="28"/>
          <w:szCs w:val="28"/>
          <w:highlight w:val="none"/>
        </w:rPr>
        <w:fldChar w:fldCharType="end"/>
      </w:r>
      <w:r>
        <w:rPr>
          <w:color w:val="auto"/>
          <w:sz w:val="28"/>
          <w:szCs w:val="28"/>
          <w:highlight w:val="none"/>
        </w:rPr>
        <w:fldChar w:fldCharType="end"/>
      </w:r>
    </w:p>
    <w:p w14:paraId="55313333">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_Toc14476 </w:instrText>
      </w:r>
      <w:r>
        <w:rPr>
          <w:color w:val="auto"/>
          <w:sz w:val="28"/>
          <w:szCs w:val="28"/>
          <w:highlight w:val="none"/>
        </w:rPr>
        <w:fldChar w:fldCharType="separate"/>
      </w:r>
      <w:r>
        <w:rPr>
          <w:rFonts w:hint="eastAsia" w:ascii="楷体" w:hAnsi="楷体" w:eastAsia="楷体" w:cs="楷体"/>
          <w:color w:val="auto"/>
          <w:sz w:val="28"/>
          <w:szCs w:val="28"/>
          <w:highlight w:val="none"/>
          <w:lang w:eastAsia="zh-CN"/>
        </w:rPr>
        <w:t>（四）</w:t>
      </w:r>
      <w:r>
        <w:rPr>
          <w:rFonts w:hint="eastAsia" w:ascii="楷体" w:hAnsi="楷体" w:eastAsia="楷体" w:cs="楷体"/>
          <w:color w:val="auto"/>
          <w:sz w:val="28"/>
          <w:szCs w:val="28"/>
          <w:highlight w:val="none"/>
        </w:rPr>
        <w:t>高</w:t>
      </w:r>
      <w:r>
        <w:rPr>
          <w:rFonts w:hint="eastAsia" w:ascii="楷体" w:hAnsi="楷体" w:eastAsia="楷体" w:cs="楷体"/>
          <w:color w:val="auto"/>
          <w:sz w:val="28"/>
          <w:szCs w:val="28"/>
          <w:highlight w:val="none"/>
          <w:lang w:eastAsia="zh-CN"/>
        </w:rPr>
        <w:t>潜</w:t>
      </w:r>
      <w:r>
        <w:rPr>
          <w:rFonts w:hint="eastAsia" w:ascii="楷体" w:hAnsi="楷体" w:eastAsia="楷体" w:cs="楷体"/>
          <w:color w:val="auto"/>
          <w:sz w:val="28"/>
          <w:szCs w:val="28"/>
          <w:highlight w:val="none"/>
        </w:rPr>
        <w:t>未来产业</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_Toc14476 </w:instrText>
      </w:r>
      <w:r>
        <w:rPr>
          <w:color w:val="auto"/>
          <w:sz w:val="28"/>
          <w:szCs w:val="28"/>
          <w:highlight w:val="none"/>
        </w:rPr>
        <w:fldChar w:fldCharType="separate"/>
      </w:r>
      <w:r>
        <w:rPr>
          <w:color w:val="auto"/>
          <w:sz w:val="28"/>
          <w:szCs w:val="28"/>
          <w:highlight w:val="none"/>
        </w:rPr>
        <w:t>34</w:t>
      </w:r>
      <w:r>
        <w:rPr>
          <w:color w:val="auto"/>
          <w:sz w:val="28"/>
          <w:szCs w:val="28"/>
          <w:highlight w:val="none"/>
        </w:rPr>
        <w:fldChar w:fldCharType="end"/>
      </w:r>
      <w:r>
        <w:rPr>
          <w:color w:val="auto"/>
          <w:sz w:val="28"/>
          <w:szCs w:val="28"/>
          <w:highlight w:val="none"/>
        </w:rPr>
        <w:fldChar w:fldCharType="end"/>
      </w:r>
    </w:p>
    <w:p w14:paraId="3E4C19EE">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_Toc9679 </w:instrText>
      </w:r>
      <w:r>
        <w:rPr>
          <w:color w:val="auto"/>
          <w:sz w:val="28"/>
          <w:szCs w:val="28"/>
          <w:highlight w:val="none"/>
        </w:rPr>
        <w:fldChar w:fldCharType="separate"/>
      </w:r>
      <w:r>
        <w:rPr>
          <w:rFonts w:hint="eastAsia" w:eastAsia="黑体"/>
          <w:bCs w:val="0"/>
          <w:color w:val="auto"/>
          <w:sz w:val="28"/>
          <w:szCs w:val="28"/>
          <w:highlight w:val="none"/>
          <w:lang w:eastAsia="zh-CN"/>
        </w:rPr>
        <w:t>三、</w:t>
      </w:r>
      <w:r>
        <w:rPr>
          <w:rFonts w:hint="eastAsia" w:eastAsia="黑体"/>
          <w:bCs w:val="0"/>
          <w:color w:val="auto"/>
          <w:sz w:val="28"/>
          <w:szCs w:val="28"/>
          <w:highlight w:val="none"/>
        </w:rPr>
        <w:t>大力发展数字经济</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_Toc9679 </w:instrText>
      </w:r>
      <w:r>
        <w:rPr>
          <w:color w:val="auto"/>
          <w:sz w:val="28"/>
          <w:szCs w:val="28"/>
          <w:highlight w:val="none"/>
        </w:rPr>
        <w:fldChar w:fldCharType="separate"/>
      </w:r>
      <w:r>
        <w:rPr>
          <w:color w:val="auto"/>
          <w:sz w:val="28"/>
          <w:szCs w:val="28"/>
          <w:highlight w:val="none"/>
        </w:rPr>
        <w:t>36</w:t>
      </w:r>
      <w:r>
        <w:rPr>
          <w:color w:val="auto"/>
          <w:sz w:val="28"/>
          <w:szCs w:val="28"/>
          <w:highlight w:val="none"/>
        </w:rPr>
        <w:fldChar w:fldCharType="end"/>
      </w:r>
      <w:r>
        <w:rPr>
          <w:color w:val="auto"/>
          <w:sz w:val="28"/>
          <w:szCs w:val="28"/>
          <w:highlight w:val="none"/>
        </w:rPr>
        <w:fldChar w:fldCharType="end"/>
      </w:r>
    </w:p>
    <w:p w14:paraId="40A148F5">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_Toc13179 </w:instrText>
      </w:r>
      <w:r>
        <w:rPr>
          <w:color w:val="auto"/>
          <w:sz w:val="28"/>
          <w:szCs w:val="28"/>
          <w:highlight w:val="none"/>
        </w:rPr>
        <w:fldChar w:fldCharType="separate"/>
      </w:r>
      <w:r>
        <w:rPr>
          <w:rFonts w:hint="eastAsia" w:eastAsia="黑体" w:cs="Times New Roman"/>
          <w:color w:val="auto"/>
          <w:sz w:val="28"/>
          <w:szCs w:val="28"/>
          <w:highlight w:val="none"/>
        </w:rPr>
        <w:t>四、</w:t>
      </w:r>
      <w:r>
        <w:rPr>
          <w:rFonts w:hint="eastAsia" w:eastAsia="黑体"/>
          <w:color w:val="auto"/>
          <w:sz w:val="28"/>
          <w:szCs w:val="28"/>
          <w:highlight w:val="none"/>
        </w:rPr>
        <w:t>培育发展新业态新模式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_Toc13179 </w:instrText>
      </w:r>
      <w:r>
        <w:rPr>
          <w:color w:val="auto"/>
          <w:sz w:val="28"/>
          <w:szCs w:val="28"/>
          <w:highlight w:val="none"/>
        </w:rPr>
        <w:fldChar w:fldCharType="separate"/>
      </w:r>
      <w:r>
        <w:rPr>
          <w:color w:val="auto"/>
          <w:sz w:val="28"/>
          <w:szCs w:val="28"/>
          <w:highlight w:val="none"/>
        </w:rPr>
        <w:t>37</w:t>
      </w:r>
      <w:r>
        <w:rPr>
          <w:color w:val="auto"/>
          <w:sz w:val="28"/>
          <w:szCs w:val="28"/>
          <w:highlight w:val="none"/>
        </w:rPr>
        <w:fldChar w:fldCharType="end"/>
      </w:r>
      <w:r>
        <w:rPr>
          <w:color w:val="auto"/>
          <w:sz w:val="28"/>
          <w:szCs w:val="28"/>
          <w:highlight w:val="none"/>
        </w:rPr>
        <w:fldChar w:fldCharType="end"/>
      </w:r>
    </w:p>
    <w:p w14:paraId="12D2234F">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_Toc9034 </w:instrText>
      </w:r>
      <w:r>
        <w:rPr>
          <w:color w:val="auto"/>
          <w:sz w:val="28"/>
          <w:szCs w:val="28"/>
          <w:highlight w:val="none"/>
        </w:rPr>
        <w:fldChar w:fldCharType="separate"/>
      </w:r>
      <w:r>
        <w:rPr>
          <w:rFonts w:hint="eastAsia" w:eastAsia="黑体"/>
          <w:bCs w:val="0"/>
          <w:color w:val="auto"/>
          <w:sz w:val="28"/>
          <w:szCs w:val="28"/>
          <w:highlight w:val="none"/>
          <w:lang w:eastAsia="zh-CN"/>
        </w:rPr>
        <w:t>五</w:t>
      </w:r>
      <w:r>
        <w:rPr>
          <w:rFonts w:hint="eastAsia" w:eastAsia="黑体"/>
          <w:bCs w:val="0"/>
          <w:color w:val="auto"/>
          <w:sz w:val="28"/>
          <w:szCs w:val="28"/>
          <w:highlight w:val="none"/>
        </w:rPr>
        <w:t>、建设质量强市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_Toc9034 </w:instrText>
      </w:r>
      <w:r>
        <w:rPr>
          <w:color w:val="auto"/>
          <w:sz w:val="28"/>
          <w:szCs w:val="28"/>
          <w:highlight w:val="none"/>
        </w:rPr>
        <w:fldChar w:fldCharType="separate"/>
      </w:r>
      <w:r>
        <w:rPr>
          <w:color w:val="auto"/>
          <w:sz w:val="28"/>
          <w:szCs w:val="28"/>
          <w:highlight w:val="none"/>
        </w:rPr>
        <w:t>39</w:t>
      </w:r>
      <w:r>
        <w:rPr>
          <w:color w:val="auto"/>
          <w:sz w:val="28"/>
          <w:szCs w:val="28"/>
          <w:highlight w:val="none"/>
        </w:rPr>
        <w:fldChar w:fldCharType="end"/>
      </w:r>
      <w:r>
        <w:rPr>
          <w:color w:val="auto"/>
          <w:sz w:val="28"/>
          <w:szCs w:val="28"/>
          <w:highlight w:val="none"/>
        </w:rPr>
        <w:fldChar w:fldCharType="end"/>
      </w:r>
    </w:p>
    <w:p w14:paraId="262192A7">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_Toc32215 </w:instrText>
      </w:r>
      <w:r>
        <w:rPr>
          <w:color w:val="auto"/>
          <w:sz w:val="28"/>
          <w:szCs w:val="28"/>
          <w:highlight w:val="none"/>
        </w:rPr>
        <w:fldChar w:fldCharType="separate"/>
      </w:r>
      <w:r>
        <w:rPr>
          <w:rFonts w:hint="eastAsia"/>
          <w:bCs w:val="0"/>
          <w:color w:val="auto"/>
          <w:sz w:val="28"/>
          <w:szCs w:val="28"/>
          <w:highlight w:val="none"/>
        </w:rPr>
        <w:t>（一）构建新型标准体系</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_Toc32215 </w:instrText>
      </w:r>
      <w:r>
        <w:rPr>
          <w:color w:val="auto"/>
          <w:sz w:val="28"/>
          <w:szCs w:val="28"/>
          <w:highlight w:val="none"/>
        </w:rPr>
        <w:fldChar w:fldCharType="separate"/>
      </w:r>
      <w:r>
        <w:rPr>
          <w:color w:val="auto"/>
          <w:sz w:val="28"/>
          <w:szCs w:val="28"/>
          <w:highlight w:val="none"/>
        </w:rPr>
        <w:t>39</w:t>
      </w:r>
      <w:r>
        <w:rPr>
          <w:color w:val="auto"/>
          <w:sz w:val="28"/>
          <w:szCs w:val="28"/>
          <w:highlight w:val="none"/>
        </w:rPr>
        <w:fldChar w:fldCharType="end"/>
      </w:r>
      <w:r>
        <w:rPr>
          <w:color w:val="auto"/>
          <w:sz w:val="28"/>
          <w:szCs w:val="28"/>
          <w:highlight w:val="none"/>
        </w:rPr>
        <w:fldChar w:fldCharType="end"/>
      </w:r>
    </w:p>
    <w:p w14:paraId="0112A36B">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_Toc21236 </w:instrText>
      </w:r>
      <w:r>
        <w:rPr>
          <w:color w:val="auto"/>
          <w:sz w:val="28"/>
          <w:szCs w:val="28"/>
          <w:highlight w:val="none"/>
        </w:rPr>
        <w:fldChar w:fldCharType="separate"/>
      </w:r>
      <w:r>
        <w:rPr>
          <w:rFonts w:hint="eastAsia"/>
          <w:bCs w:val="0"/>
          <w:color w:val="auto"/>
          <w:sz w:val="28"/>
          <w:szCs w:val="28"/>
          <w:highlight w:val="none"/>
        </w:rPr>
        <w:t>（二）持续推动质量提升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_Toc21236 </w:instrText>
      </w:r>
      <w:r>
        <w:rPr>
          <w:color w:val="auto"/>
          <w:sz w:val="28"/>
          <w:szCs w:val="28"/>
          <w:highlight w:val="none"/>
        </w:rPr>
        <w:fldChar w:fldCharType="separate"/>
      </w:r>
      <w:r>
        <w:rPr>
          <w:color w:val="auto"/>
          <w:sz w:val="28"/>
          <w:szCs w:val="28"/>
          <w:highlight w:val="none"/>
        </w:rPr>
        <w:t>40</w:t>
      </w:r>
      <w:r>
        <w:rPr>
          <w:color w:val="auto"/>
          <w:sz w:val="28"/>
          <w:szCs w:val="28"/>
          <w:highlight w:val="none"/>
        </w:rPr>
        <w:fldChar w:fldCharType="end"/>
      </w:r>
      <w:r>
        <w:rPr>
          <w:color w:val="auto"/>
          <w:sz w:val="28"/>
          <w:szCs w:val="28"/>
          <w:highlight w:val="none"/>
        </w:rPr>
        <w:fldChar w:fldCharType="end"/>
      </w:r>
    </w:p>
    <w:p w14:paraId="4DA11B3A">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_Toc15679 </w:instrText>
      </w:r>
      <w:r>
        <w:rPr>
          <w:color w:val="auto"/>
          <w:sz w:val="28"/>
          <w:szCs w:val="28"/>
          <w:highlight w:val="none"/>
        </w:rPr>
        <w:fldChar w:fldCharType="separate"/>
      </w:r>
      <w:r>
        <w:rPr>
          <w:rFonts w:hint="eastAsia"/>
          <w:bCs w:val="0"/>
          <w:color w:val="auto"/>
          <w:sz w:val="28"/>
          <w:szCs w:val="28"/>
          <w:highlight w:val="none"/>
        </w:rPr>
        <w:t>（三）培树秦皇岛品牌</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_Toc15679 </w:instrText>
      </w:r>
      <w:r>
        <w:rPr>
          <w:color w:val="auto"/>
          <w:sz w:val="28"/>
          <w:szCs w:val="28"/>
          <w:highlight w:val="none"/>
        </w:rPr>
        <w:fldChar w:fldCharType="separate"/>
      </w:r>
      <w:r>
        <w:rPr>
          <w:color w:val="auto"/>
          <w:sz w:val="28"/>
          <w:szCs w:val="28"/>
          <w:highlight w:val="none"/>
        </w:rPr>
        <w:t>40</w:t>
      </w:r>
      <w:r>
        <w:rPr>
          <w:color w:val="auto"/>
          <w:sz w:val="28"/>
          <w:szCs w:val="28"/>
          <w:highlight w:val="none"/>
        </w:rPr>
        <w:fldChar w:fldCharType="end"/>
      </w:r>
      <w:r>
        <w:rPr>
          <w:color w:val="auto"/>
          <w:sz w:val="28"/>
          <w:szCs w:val="28"/>
          <w:highlight w:val="none"/>
        </w:rPr>
        <w:fldChar w:fldCharType="end"/>
      </w:r>
    </w:p>
    <w:p w14:paraId="47959BEB">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ind w:left="0" w:leftChars="0" w:firstLine="0" w:firstLineChars="0"/>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_Toc14765 </w:instrText>
      </w:r>
      <w:r>
        <w:rPr>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w:t>
      </w:r>
      <w:r>
        <w:rPr>
          <w:rFonts w:hint="eastAsia" w:asciiTheme="minorEastAsia" w:hAnsiTheme="minorEastAsia" w:eastAsiaTheme="minorEastAsia" w:cstheme="minorEastAsia"/>
          <w:b/>
          <w:bCs/>
          <w:color w:val="auto"/>
          <w:sz w:val="28"/>
          <w:szCs w:val="28"/>
          <w:highlight w:val="none"/>
          <w:lang w:eastAsia="zh-CN"/>
        </w:rPr>
        <w:t>四</w:t>
      </w:r>
      <w:r>
        <w:rPr>
          <w:rFonts w:hint="eastAsia" w:asciiTheme="minorEastAsia" w:hAnsiTheme="minorEastAsia" w:eastAsiaTheme="minorEastAsia" w:cstheme="minorEastAsia"/>
          <w:b/>
          <w:bCs/>
          <w:color w:val="auto"/>
          <w:sz w:val="28"/>
          <w:szCs w:val="28"/>
          <w:highlight w:val="none"/>
        </w:rPr>
        <w:t xml:space="preserve">章 </w:t>
      </w:r>
      <w:r>
        <w:rPr>
          <w:rFonts w:hint="eastAsia" w:asciiTheme="minorEastAsia" w:hAnsiTheme="minorEastAsia" w:eastAsiaTheme="minorEastAsia" w:cstheme="minorEastAsia"/>
          <w:b/>
          <w:bCs/>
          <w:color w:val="auto"/>
          <w:sz w:val="28"/>
          <w:szCs w:val="28"/>
          <w:highlight w:val="none"/>
          <w:lang w:eastAsia="zh-CN"/>
        </w:rPr>
        <w:t>实施扩大内需战略</w:t>
      </w:r>
      <w:r>
        <w:rPr>
          <w:rFonts w:hint="eastAsia" w:asciiTheme="minorEastAsia" w:hAnsiTheme="minorEastAsia" w:eastAsiaTheme="minorEastAsia" w:cstheme="minorEastAsia"/>
          <w:b/>
          <w:bCs/>
          <w:color w:val="auto"/>
          <w:sz w:val="28"/>
          <w:szCs w:val="28"/>
          <w:highlight w:val="none"/>
        </w:rPr>
        <w:t>，积极融入新发展格局</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_Toc14765 </w:instrText>
      </w:r>
      <w:r>
        <w:rPr>
          <w:color w:val="auto"/>
          <w:sz w:val="28"/>
          <w:szCs w:val="28"/>
          <w:highlight w:val="none"/>
        </w:rPr>
        <w:fldChar w:fldCharType="separate"/>
      </w:r>
      <w:r>
        <w:rPr>
          <w:color w:val="auto"/>
          <w:sz w:val="28"/>
          <w:szCs w:val="28"/>
          <w:highlight w:val="none"/>
        </w:rPr>
        <w:t>41</w:t>
      </w:r>
      <w:r>
        <w:rPr>
          <w:color w:val="auto"/>
          <w:sz w:val="28"/>
          <w:szCs w:val="28"/>
          <w:highlight w:val="none"/>
        </w:rPr>
        <w:fldChar w:fldCharType="end"/>
      </w:r>
      <w:r>
        <w:rPr>
          <w:color w:val="auto"/>
          <w:sz w:val="28"/>
          <w:szCs w:val="28"/>
          <w:highlight w:val="none"/>
        </w:rPr>
        <w:fldChar w:fldCharType="end"/>
      </w:r>
    </w:p>
    <w:p w14:paraId="1B9DC9CC">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_Toc27109 </w:instrText>
      </w:r>
      <w:r>
        <w:rPr>
          <w:color w:val="auto"/>
          <w:sz w:val="28"/>
          <w:szCs w:val="28"/>
          <w:highlight w:val="none"/>
        </w:rPr>
        <w:fldChar w:fldCharType="separate"/>
      </w:r>
      <w:r>
        <w:rPr>
          <w:rFonts w:hint="eastAsia" w:eastAsia="黑体"/>
          <w:color w:val="auto"/>
          <w:sz w:val="28"/>
          <w:szCs w:val="28"/>
          <w:highlight w:val="none"/>
        </w:rPr>
        <w:t>一、</w:t>
      </w:r>
      <w:r>
        <w:rPr>
          <w:rFonts w:hint="eastAsia" w:eastAsia="黑体"/>
          <w:color w:val="auto"/>
          <w:sz w:val="28"/>
          <w:szCs w:val="28"/>
          <w:highlight w:val="none"/>
          <w:lang w:eastAsia="zh-CN"/>
        </w:rPr>
        <w:t>积极扩大精准有效</w:t>
      </w:r>
      <w:r>
        <w:rPr>
          <w:rFonts w:hint="eastAsia" w:eastAsia="黑体"/>
          <w:color w:val="auto"/>
          <w:sz w:val="28"/>
          <w:szCs w:val="28"/>
          <w:highlight w:val="none"/>
        </w:rPr>
        <w:t>投资</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_Toc27109 </w:instrText>
      </w:r>
      <w:r>
        <w:rPr>
          <w:color w:val="auto"/>
          <w:sz w:val="28"/>
          <w:szCs w:val="28"/>
          <w:highlight w:val="none"/>
        </w:rPr>
        <w:fldChar w:fldCharType="separate"/>
      </w:r>
      <w:r>
        <w:rPr>
          <w:color w:val="auto"/>
          <w:sz w:val="28"/>
          <w:szCs w:val="28"/>
          <w:highlight w:val="none"/>
        </w:rPr>
        <w:t>41</w:t>
      </w:r>
      <w:r>
        <w:rPr>
          <w:color w:val="auto"/>
          <w:sz w:val="28"/>
          <w:szCs w:val="28"/>
          <w:highlight w:val="none"/>
        </w:rPr>
        <w:fldChar w:fldCharType="end"/>
      </w:r>
      <w:r>
        <w:rPr>
          <w:color w:val="auto"/>
          <w:sz w:val="28"/>
          <w:szCs w:val="28"/>
          <w:highlight w:val="none"/>
        </w:rPr>
        <w:fldChar w:fldCharType="end"/>
      </w:r>
    </w:p>
    <w:p w14:paraId="30224D57">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_Toc8805 </w:instrText>
      </w:r>
      <w:r>
        <w:rPr>
          <w:color w:val="auto"/>
          <w:sz w:val="28"/>
          <w:szCs w:val="28"/>
          <w:highlight w:val="none"/>
        </w:rPr>
        <w:fldChar w:fldCharType="separate"/>
      </w:r>
      <w:r>
        <w:rPr>
          <w:rFonts w:hint="eastAsia"/>
          <w:bCs w:val="0"/>
          <w:color w:val="auto"/>
          <w:sz w:val="28"/>
          <w:szCs w:val="28"/>
          <w:highlight w:val="none"/>
        </w:rPr>
        <w:t>（一）优化产业领域投资</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_Toc8805 </w:instrText>
      </w:r>
      <w:r>
        <w:rPr>
          <w:color w:val="auto"/>
          <w:sz w:val="28"/>
          <w:szCs w:val="28"/>
          <w:highlight w:val="none"/>
        </w:rPr>
        <w:fldChar w:fldCharType="separate"/>
      </w:r>
      <w:r>
        <w:rPr>
          <w:color w:val="auto"/>
          <w:sz w:val="28"/>
          <w:szCs w:val="28"/>
          <w:highlight w:val="none"/>
        </w:rPr>
        <w:t>41</w:t>
      </w:r>
      <w:r>
        <w:rPr>
          <w:color w:val="auto"/>
          <w:sz w:val="28"/>
          <w:szCs w:val="28"/>
          <w:highlight w:val="none"/>
        </w:rPr>
        <w:fldChar w:fldCharType="end"/>
      </w:r>
      <w:r>
        <w:rPr>
          <w:color w:val="auto"/>
          <w:sz w:val="28"/>
          <w:szCs w:val="28"/>
          <w:highlight w:val="none"/>
        </w:rPr>
        <w:fldChar w:fldCharType="end"/>
      </w:r>
    </w:p>
    <w:p w14:paraId="085B5E93">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_Toc12380 </w:instrText>
      </w:r>
      <w:r>
        <w:rPr>
          <w:color w:val="auto"/>
          <w:sz w:val="28"/>
          <w:szCs w:val="28"/>
          <w:highlight w:val="none"/>
        </w:rPr>
        <w:fldChar w:fldCharType="separate"/>
      </w:r>
      <w:r>
        <w:rPr>
          <w:rFonts w:hint="eastAsia"/>
          <w:bCs w:val="0"/>
          <w:color w:val="auto"/>
          <w:sz w:val="28"/>
          <w:szCs w:val="28"/>
          <w:highlight w:val="none"/>
        </w:rPr>
        <w:t>（二）加强新型基础设施建设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_Toc12380 </w:instrText>
      </w:r>
      <w:r>
        <w:rPr>
          <w:color w:val="auto"/>
          <w:sz w:val="28"/>
          <w:szCs w:val="28"/>
          <w:highlight w:val="none"/>
        </w:rPr>
        <w:fldChar w:fldCharType="separate"/>
      </w:r>
      <w:r>
        <w:rPr>
          <w:color w:val="auto"/>
          <w:sz w:val="28"/>
          <w:szCs w:val="28"/>
          <w:highlight w:val="none"/>
        </w:rPr>
        <w:t>42</w:t>
      </w:r>
      <w:r>
        <w:rPr>
          <w:color w:val="auto"/>
          <w:sz w:val="28"/>
          <w:szCs w:val="28"/>
          <w:highlight w:val="none"/>
        </w:rPr>
        <w:fldChar w:fldCharType="end"/>
      </w:r>
      <w:r>
        <w:rPr>
          <w:color w:val="auto"/>
          <w:sz w:val="28"/>
          <w:szCs w:val="28"/>
          <w:highlight w:val="none"/>
        </w:rPr>
        <w:fldChar w:fldCharType="end"/>
      </w:r>
    </w:p>
    <w:p w14:paraId="0971B87F">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_Toc26432 </w:instrText>
      </w:r>
      <w:r>
        <w:rPr>
          <w:color w:val="auto"/>
          <w:sz w:val="28"/>
          <w:szCs w:val="28"/>
          <w:highlight w:val="none"/>
        </w:rPr>
        <w:fldChar w:fldCharType="separate"/>
      </w:r>
      <w:r>
        <w:rPr>
          <w:rFonts w:hint="eastAsia"/>
          <w:bCs w:val="0"/>
          <w:color w:val="auto"/>
          <w:sz w:val="28"/>
          <w:szCs w:val="28"/>
          <w:highlight w:val="none"/>
        </w:rPr>
        <w:t>（三）构建现代综合交通运输体系</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_Toc26432 </w:instrText>
      </w:r>
      <w:r>
        <w:rPr>
          <w:color w:val="auto"/>
          <w:sz w:val="28"/>
          <w:szCs w:val="28"/>
          <w:highlight w:val="none"/>
        </w:rPr>
        <w:fldChar w:fldCharType="separate"/>
      </w:r>
      <w:r>
        <w:rPr>
          <w:color w:val="auto"/>
          <w:sz w:val="28"/>
          <w:szCs w:val="28"/>
          <w:highlight w:val="none"/>
        </w:rPr>
        <w:t>43</w:t>
      </w:r>
      <w:r>
        <w:rPr>
          <w:color w:val="auto"/>
          <w:sz w:val="28"/>
          <w:szCs w:val="28"/>
          <w:highlight w:val="none"/>
        </w:rPr>
        <w:fldChar w:fldCharType="end"/>
      </w:r>
      <w:r>
        <w:rPr>
          <w:color w:val="auto"/>
          <w:sz w:val="28"/>
          <w:szCs w:val="28"/>
          <w:highlight w:val="none"/>
        </w:rPr>
        <w:fldChar w:fldCharType="end"/>
      </w:r>
    </w:p>
    <w:p w14:paraId="73DF89B8">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_Toc19115 </w:instrText>
      </w:r>
      <w:r>
        <w:rPr>
          <w:color w:val="auto"/>
          <w:sz w:val="28"/>
          <w:szCs w:val="28"/>
          <w:highlight w:val="none"/>
        </w:rPr>
        <w:fldChar w:fldCharType="separate"/>
      </w:r>
      <w:r>
        <w:rPr>
          <w:rFonts w:hint="eastAsia"/>
          <w:bCs w:val="0"/>
          <w:color w:val="auto"/>
          <w:sz w:val="28"/>
          <w:szCs w:val="28"/>
          <w:highlight w:val="none"/>
        </w:rPr>
        <w:t>（四）构建综合能源体系</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_Toc19115 </w:instrText>
      </w:r>
      <w:r>
        <w:rPr>
          <w:color w:val="auto"/>
          <w:sz w:val="28"/>
          <w:szCs w:val="28"/>
          <w:highlight w:val="none"/>
        </w:rPr>
        <w:fldChar w:fldCharType="separate"/>
      </w:r>
      <w:r>
        <w:rPr>
          <w:color w:val="auto"/>
          <w:sz w:val="28"/>
          <w:szCs w:val="28"/>
          <w:highlight w:val="none"/>
        </w:rPr>
        <w:t>45</w:t>
      </w:r>
      <w:r>
        <w:rPr>
          <w:color w:val="auto"/>
          <w:sz w:val="28"/>
          <w:szCs w:val="28"/>
          <w:highlight w:val="none"/>
        </w:rPr>
        <w:fldChar w:fldCharType="end"/>
      </w:r>
      <w:r>
        <w:rPr>
          <w:color w:val="auto"/>
          <w:sz w:val="28"/>
          <w:szCs w:val="28"/>
          <w:highlight w:val="none"/>
        </w:rPr>
        <w:fldChar w:fldCharType="end"/>
      </w:r>
    </w:p>
    <w:p w14:paraId="5A428A3E">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_Toc18641 </w:instrText>
      </w:r>
      <w:r>
        <w:rPr>
          <w:color w:val="auto"/>
          <w:sz w:val="28"/>
          <w:szCs w:val="28"/>
          <w:highlight w:val="none"/>
        </w:rPr>
        <w:fldChar w:fldCharType="separate"/>
      </w:r>
      <w:r>
        <w:rPr>
          <w:rFonts w:hint="eastAsia"/>
          <w:bCs w:val="0"/>
          <w:color w:val="auto"/>
          <w:sz w:val="28"/>
          <w:szCs w:val="28"/>
          <w:highlight w:val="none"/>
        </w:rPr>
        <w:t>（五）加强水利设施建设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_Toc18641 </w:instrText>
      </w:r>
      <w:r>
        <w:rPr>
          <w:color w:val="auto"/>
          <w:sz w:val="28"/>
          <w:szCs w:val="28"/>
          <w:highlight w:val="none"/>
        </w:rPr>
        <w:fldChar w:fldCharType="separate"/>
      </w:r>
      <w:r>
        <w:rPr>
          <w:color w:val="auto"/>
          <w:sz w:val="28"/>
          <w:szCs w:val="28"/>
          <w:highlight w:val="none"/>
        </w:rPr>
        <w:t>46</w:t>
      </w:r>
      <w:r>
        <w:rPr>
          <w:color w:val="auto"/>
          <w:sz w:val="28"/>
          <w:szCs w:val="28"/>
          <w:highlight w:val="none"/>
        </w:rPr>
        <w:fldChar w:fldCharType="end"/>
      </w:r>
      <w:r>
        <w:rPr>
          <w:color w:val="auto"/>
          <w:sz w:val="28"/>
          <w:szCs w:val="28"/>
          <w:highlight w:val="none"/>
        </w:rPr>
        <w:fldChar w:fldCharType="end"/>
      </w:r>
    </w:p>
    <w:p w14:paraId="00E03947">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_Toc21276 </w:instrText>
      </w:r>
      <w:r>
        <w:rPr>
          <w:color w:val="auto"/>
          <w:sz w:val="28"/>
          <w:szCs w:val="28"/>
          <w:highlight w:val="none"/>
        </w:rPr>
        <w:fldChar w:fldCharType="separate"/>
      </w:r>
      <w:r>
        <w:rPr>
          <w:rFonts w:hint="eastAsia" w:eastAsia="黑体"/>
          <w:color w:val="auto"/>
          <w:sz w:val="28"/>
          <w:szCs w:val="28"/>
          <w:highlight w:val="none"/>
        </w:rPr>
        <w:t>二、着力扩大消费需求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_Toc21276 </w:instrText>
      </w:r>
      <w:r>
        <w:rPr>
          <w:color w:val="auto"/>
          <w:sz w:val="28"/>
          <w:szCs w:val="28"/>
          <w:highlight w:val="none"/>
        </w:rPr>
        <w:fldChar w:fldCharType="separate"/>
      </w:r>
      <w:r>
        <w:rPr>
          <w:color w:val="auto"/>
          <w:sz w:val="28"/>
          <w:szCs w:val="28"/>
          <w:highlight w:val="none"/>
        </w:rPr>
        <w:t>47</w:t>
      </w:r>
      <w:r>
        <w:rPr>
          <w:color w:val="auto"/>
          <w:sz w:val="28"/>
          <w:szCs w:val="28"/>
          <w:highlight w:val="none"/>
        </w:rPr>
        <w:fldChar w:fldCharType="end"/>
      </w:r>
      <w:r>
        <w:rPr>
          <w:color w:val="auto"/>
          <w:sz w:val="28"/>
          <w:szCs w:val="28"/>
          <w:highlight w:val="none"/>
        </w:rPr>
        <w:fldChar w:fldCharType="end"/>
      </w:r>
    </w:p>
    <w:p w14:paraId="1AE4C786">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_Toc27703 </w:instrText>
      </w:r>
      <w:r>
        <w:rPr>
          <w:color w:val="auto"/>
          <w:sz w:val="28"/>
          <w:szCs w:val="28"/>
          <w:highlight w:val="none"/>
        </w:rPr>
        <w:fldChar w:fldCharType="separate"/>
      </w:r>
      <w:r>
        <w:rPr>
          <w:rFonts w:hint="eastAsia"/>
          <w:bCs w:val="0"/>
          <w:color w:val="auto"/>
          <w:sz w:val="28"/>
          <w:szCs w:val="28"/>
          <w:highlight w:val="none"/>
        </w:rPr>
        <w:t>（一）推动跨境电商零售进口试点城市建设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_Toc27703 </w:instrText>
      </w:r>
      <w:r>
        <w:rPr>
          <w:color w:val="auto"/>
          <w:sz w:val="28"/>
          <w:szCs w:val="28"/>
          <w:highlight w:val="none"/>
        </w:rPr>
        <w:fldChar w:fldCharType="separate"/>
      </w:r>
      <w:r>
        <w:rPr>
          <w:color w:val="auto"/>
          <w:sz w:val="28"/>
          <w:szCs w:val="28"/>
          <w:highlight w:val="none"/>
        </w:rPr>
        <w:t>48</w:t>
      </w:r>
      <w:r>
        <w:rPr>
          <w:color w:val="auto"/>
          <w:sz w:val="28"/>
          <w:szCs w:val="28"/>
          <w:highlight w:val="none"/>
        </w:rPr>
        <w:fldChar w:fldCharType="end"/>
      </w:r>
      <w:r>
        <w:rPr>
          <w:color w:val="auto"/>
          <w:sz w:val="28"/>
          <w:szCs w:val="28"/>
          <w:highlight w:val="none"/>
        </w:rPr>
        <w:fldChar w:fldCharType="end"/>
      </w:r>
    </w:p>
    <w:p w14:paraId="6FAFFC1A">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_Toc26209 </w:instrText>
      </w:r>
      <w:r>
        <w:rPr>
          <w:color w:val="auto"/>
          <w:sz w:val="28"/>
          <w:szCs w:val="28"/>
          <w:highlight w:val="none"/>
        </w:rPr>
        <w:fldChar w:fldCharType="separate"/>
      </w:r>
      <w:r>
        <w:rPr>
          <w:rFonts w:hint="eastAsia"/>
          <w:bCs w:val="0"/>
          <w:color w:val="auto"/>
          <w:sz w:val="28"/>
          <w:szCs w:val="28"/>
          <w:highlight w:val="none"/>
        </w:rPr>
        <w:t>（二）加快国家体育消费试点城市建设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_Toc26209 </w:instrText>
      </w:r>
      <w:r>
        <w:rPr>
          <w:color w:val="auto"/>
          <w:sz w:val="28"/>
          <w:szCs w:val="28"/>
          <w:highlight w:val="none"/>
        </w:rPr>
        <w:fldChar w:fldCharType="separate"/>
      </w:r>
      <w:r>
        <w:rPr>
          <w:color w:val="auto"/>
          <w:sz w:val="28"/>
          <w:szCs w:val="28"/>
          <w:highlight w:val="none"/>
        </w:rPr>
        <w:t>48</w:t>
      </w:r>
      <w:r>
        <w:rPr>
          <w:color w:val="auto"/>
          <w:sz w:val="28"/>
          <w:szCs w:val="28"/>
          <w:highlight w:val="none"/>
        </w:rPr>
        <w:fldChar w:fldCharType="end"/>
      </w:r>
      <w:r>
        <w:rPr>
          <w:color w:val="auto"/>
          <w:sz w:val="28"/>
          <w:szCs w:val="28"/>
          <w:highlight w:val="none"/>
        </w:rPr>
        <w:fldChar w:fldCharType="end"/>
      </w:r>
    </w:p>
    <w:p w14:paraId="162C7962">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_Toc7973 </w:instrText>
      </w:r>
      <w:r>
        <w:rPr>
          <w:color w:val="auto"/>
          <w:sz w:val="28"/>
          <w:szCs w:val="28"/>
          <w:highlight w:val="none"/>
        </w:rPr>
        <w:fldChar w:fldCharType="separate"/>
      </w:r>
      <w:r>
        <w:rPr>
          <w:rFonts w:hint="eastAsia" w:eastAsia="楷体"/>
          <w:bCs/>
          <w:color w:val="auto"/>
          <w:sz w:val="28"/>
          <w:szCs w:val="28"/>
          <w:highlight w:val="none"/>
        </w:rPr>
        <w:t>（三）积极创建国家文化和旅游消费试点城市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_Toc7973 </w:instrText>
      </w:r>
      <w:r>
        <w:rPr>
          <w:color w:val="auto"/>
          <w:sz w:val="28"/>
          <w:szCs w:val="28"/>
          <w:highlight w:val="none"/>
        </w:rPr>
        <w:fldChar w:fldCharType="separate"/>
      </w:r>
      <w:r>
        <w:rPr>
          <w:color w:val="auto"/>
          <w:sz w:val="28"/>
          <w:szCs w:val="28"/>
          <w:highlight w:val="none"/>
        </w:rPr>
        <w:t>49</w:t>
      </w:r>
      <w:r>
        <w:rPr>
          <w:color w:val="auto"/>
          <w:sz w:val="28"/>
          <w:szCs w:val="28"/>
          <w:highlight w:val="none"/>
        </w:rPr>
        <w:fldChar w:fldCharType="end"/>
      </w:r>
      <w:r>
        <w:rPr>
          <w:color w:val="auto"/>
          <w:sz w:val="28"/>
          <w:szCs w:val="28"/>
          <w:highlight w:val="none"/>
        </w:rPr>
        <w:fldChar w:fldCharType="end"/>
      </w:r>
    </w:p>
    <w:p w14:paraId="3595C897">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_Toc22530 </w:instrText>
      </w:r>
      <w:r>
        <w:rPr>
          <w:color w:val="auto"/>
          <w:sz w:val="28"/>
          <w:szCs w:val="28"/>
          <w:highlight w:val="none"/>
        </w:rPr>
        <w:fldChar w:fldCharType="separate"/>
      </w:r>
      <w:r>
        <w:rPr>
          <w:rFonts w:hint="eastAsia"/>
          <w:bCs w:val="0"/>
          <w:color w:val="auto"/>
          <w:sz w:val="28"/>
          <w:szCs w:val="28"/>
          <w:highlight w:val="none"/>
        </w:rPr>
        <w:t>（四）培育壮大消费新热点</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_Toc22530 </w:instrText>
      </w:r>
      <w:r>
        <w:rPr>
          <w:color w:val="auto"/>
          <w:sz w:val="28"/>
          <w:szCs w:val="28"/>
          <w:highlight w:val="none"/>
        </w:rPr>
        <w:fldChar w:fldCharType="separate"/>
      </w:r>
      <w:r>
        <w:rPr>
          <w:color w:val="auto"/>
          <w:sz w:val="28"/>
          <w:szCs w:val="28"/>
          <w:highlight w:val="none"/>
        </w:rPr>
        <w:t>50</w:t>
      </w:r>
      <w:r>
        <w:rPr>
          <w:color w:val="auto"/>
          <w:sz w:val="28"/>
          <w:szCs w:val="28"/>
          <w:highlight w:val="none"/>
        </w:rPr>
        <w:fldChar w:fldCharType="end"/>
      </w:r>
      <w:r>
        <w:rPr>
          <w:color w:val="auto"/>
          <w:sz w:val="28"/>
          <w:szCs w:val="28"/>
          <w:highlight w:val="none"/>
        </w:rPr>
        <w:fldChar w:fldCharType="end"/>
      </w:r>
    </w:p>
    <w:p w14:paraId="53BF6332">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_Toc14617 </w:instrText>
      </w:r>
      <w:r>
        <w:rPr>
          <w:color w:val="auto"/>
          <w:sz w:val="28"/>
          <w:szCs w:val="28"/>
          <w:highlight w:val="none"/>
        </w:rPr>
        <w:fldChar w:fldCharType="separate"/>
      </w:r>
      <w:r>
        <w:rPr>
          <w:rFonts w:hint="eastAsia"/>
          <w:bCs w:val="0"/>
          <w:color w:val="auto"/>
          <w:sz w:val="28"/>
          <w:szCs w:val="28"/>
          <w:highlight w:val="none"/>
        </w:rPr>
        <w:t>（五）优化消费环境</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_Toc14617 </w:instrText>
      </w:r>
      <w:r>
        <w:rPr>
          <w:color w:val="auto"/>
          <w:sz w:val="28"/>
          <w:szCs w:val="28"/>
          <w:highlight w:val="none"/>
        </w:rPr>
        <w:fldChar w:fldCharType="separate"/>
      </w:r>
      <w:r>
        <w:rPr>
          <w:color w:val="auto"/>
          <w:sz w:val="28"/>
          <w:szCs w:val="28"/>
          <w:highlight w:val="none"/>
        </w:rPr>
        <w:t>50</w:t>
      </w:r>
      <w:r>
        <w:rPr>
          <w:color w:val="auto"/>
          <w:sz w:val="28"/>
          <w:szCs w:val="28"/>
          <w:highlight w:val="none"/>
        </w:rPr>
        <w:fldChar w:fldCharType="end"/>
      </w:r>
      <w:r>
        <w:rPr>
          <w:color w:val="auto"/>
          <w:sz w:val="28"/>
          <w:szCs w:val="28"/>
          <w:highlight w:val="none"/>
        </w:rPr>
        <w:fldChar w:fldCharType="end"/>
      </w:r>
    </w:p>
    <w:p w14:paraId="24A40E03">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_Toc4925 </w:instrText>
      </w:r>
      <w:r>
        <w:rPr>
          <w:color w:val="auto"/>
          <w:sz w:val="28"/>
          <w:szCs w:val="28"/>
          <w:highlight w:val="none"/>
        </w:rPr>
        <w:fldChar w:fldCharType="separate"/>
      </w:r>
      <w:r>
        <w:rPr>
          <w:rFonts w:hint="eastAsia" w:eastAsia="黑体"/>
          <w:color w:val="auto"/>
          <w:sz w:val="28"/>
          <w:szCs w:val="28"/>
          <w:highlight w:val="none"/>
        </w:rPr>
        <w:t>三、开拓多元化国际市场</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_Toc4925 </w:instrText>
      </w:r>
      <w:r>
        <w:rPr>
          <w:color w:val="auto"/>
          <w:sz w:val="28"/>
          <w:szCs w:val="28"/>
          <w:highlight w:val="none"/>
        </w:rPr>
        <w:fldChar w:fldCharType="separate"/>
      </w:r>
      <w:r>
        <w:rPr>
          <w:color w:val="auto"/>
          <w:sz w:val="28"/>
          <w:szCs w:val="28"/>
          <w:highlight w:val="none"/>
        </w:rPr>
        <w:t>51</w:t>
      </w:r>
      <w:r>
        <w:rPr>
          <w:color w:val="auto"/>
          <w:sz w:val="28"/>
          <w:szCs w:val="28"/>
          <w:highlight w:val="none"/>
        </w:rPr>
        <w:fldChar w:fldCharType="end"/>
      </w:r>
      <w:r>
        <w:rPr>
          <w:color w:val="auto"/>
          <w:sz w:val="28"/>
          <w:szCs w:val="28"/>
          <w:highlight w:val="none"/>
        </w:rPr>
        <w:fldChar w:fldCharType="end"/>
      </w:r>
    </w:p>
    <w:p w14:paraId="583D7749">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_Toc27464 </w:instrText>
      </w:r>
      <w:r>
        <w:rPr>
          <w:color w:val="auto"/>
          <w:sz w:val="28"/>
          <w:szCs w:val="28"/>
          <w:highlight w:val="none"/>
        </w:rPr>
        <w:fldChar w:fldCharType="separate"/>
      </w:r>
      <w:r>
        <w:rPr>
          <w:rFonts w:hint="eastAsia"/>
          <w:bCs w:val="0"/>
          <w:color w:val="auto"/>
          <w:sz w:val="28"/>
          <w:szCs w:val="28"/>
          <w:highlight w:val="none"/>
        </w:rPr>
        <w:t>（一）培育国际竞争新优势</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_Toc27464 </w:instrText>
      </w:r>
      <w:r>
        <w:rPr>
          <w:color w:val="auto"/>
          <w:sz w:val="28"/>
          <w:szCs w:val="28"/>
          <w:highlight w:val="none"/>
        </w:rPr>
        <w:fldChar w:fldCharType="separate"/>
      </w:r>
      <w:r>
        <w:rPr>
          <w:color w:val="auto"/>
          <w:sz w:val="28"/>
          <w:szCs w:val="28"/>
          <w:highlight w:val="none"/>
        </w:rPr>
        <w:t>51</w:t>
      </w:r>
      <w:r>
        <w:rPr>
          <w:color w:val="auto"/>
          <w:sz w:val="28"/>
          <w:szCs w:val="28"/>
          <w:highlight w:val="none"/>
        </w:rPr>
        <w:fldChar w:fldCharType="end"/>
      </w:r>
      <w:r>
        <w:rPr>
          <w:color w:val="auto"/>
          <w:sz w:val="28"/>
          <w:szCs w:val="28"/>
          <w:highlight w:val="none"/>
        </w:rPr>
        <w:fldChar w:fldCharType="end"/>
      </w:r>
    </w:p>
    <w:p w14:paraId="6491BC39">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_Toc21423 </w:instrText>
      </w:r>
      <w:r>
        <w:rPr>
          <w:color w:val="auto"/>
          <w:sz w:val="28"/>
          <w:szCs w:val="28"/>
          <w:highlight w:val="none"/>
        </w:rPr>
        <w:fldChar w:fldCharType="separate"/>
      </w:r>
      <w:r>
        <w:rPr>
          <w:rFonts w:hint="eastAsia"/>
          <w:bCs w:val="0"/>
          <w:color w:val="auto"/>
          <w:sz w:val="28"/>
          <w:szCs w:val="28"/>
          <w:highlight w:val="none"/>
        </w:rPr>
        <w:t>（二）积极拓展国际市场需求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_Toc21423 </w:instrText>
      </w:r>
      <w:r>
        <w:rPr>
          <w:color w:val="auto"/>
          <w:sz w:val="28"/>
          <w:szCs w:val="28"/>
          <w:highlight w:val="none"/>
        </w:rPr>
        <w:fldChar w:fldCharType="separate"/>
      </w:r>
      <w:r>
        <w:rPr>
          <w:color w:val="auto"/>
          <w:sz w:val="28"/>
          <w:szCs w:val="28"/>
          <w:highlight w:val="none"/>
        </w:rPr>
        <w:t>52</w:t>
      </w:r>
      <w:r>
        <w:rPr>
          <w:color w:val="auto"/>
          <w:sz w:val="28"/>
          <w:szCs w:val="28"/>
          <w:highlight w:val="none"/>
        </w:rPr>
        <w:fldChar w:fldCharType="end"/>
      </w:r>
      <w:r>
        <w:rPr>
          <w:color w:val="auto"/>
          <w:sz w:val="28"/>
          <w:szCs w:val="28"/>
          <w:highlight w:val="none"/>
        </w:rPr>
        <w:fldChar w:fldCharType="end"/>
      </w:r>
    </w:p>
    <w:p w14:paraId="4664FC0E">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ind w:left="0" w:leftChars="0" w:firstLine="0" w:firstLineChars="0"/>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_Toc7446 </w:instrText>
      </w:r>
      <w:r>
        <w:rPr>
          <w:color w:val="auto"/>
          <w:sz w:val="28"/>
          <w:szCs w:val="28"/>
          <w:highlight w:val="none"/>
        </w:rPr>
        <w:fldChar w:fldCharType="separate"/>
      </w:r>
      <w:r>
        <w:rPr>
          <w:rFonts w:hint="eastAsia" w:ascii="宋体" w:hAnsi="宋体" w:eastAsia="宋体" w:cs="宋体"/>
          <w:b/>
          <w:bCs/>
          <w:color w:val="auto"/>
          <w:sz w:val="28"/>
          <w:szCs w:val="28"/>
          <w:highlight w:val="none"/>
        </w:rPr>
        <w:t>第</w:t>
      </w: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章 坚持创新驱动发展，全面塑造发展新优势</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_Toc7446 </w:instrText>
      </w:r>
      <w:r>
        <w:rPr>
          <w:color w:val="auto"/>
          <w:sz w:val="28"/>
          <w:szCs w:val="28"/>
          <w:highlight w:val="none"/>
        </w:rPr>
        <w:fldChar w:fldCharType="separate"/>
      </w:r>
      <w:r>
        <w:rPr>
          <w:color w:val="auto"/>
          <w:sz w:val="28"/>
          <w:szCs w:val="28"/>
          <w:highlight w:val="none"/>
        </w:rPr>
        <w:t>52</w:t>
      </w:r>
      <w:r>
        <w:rPr>
          <w:color w:val="auto"/>
          <w:sz w:val="28"/>
          <w:szCs w:val="28"/>
          <w:highlight w:val="none"/>
        </w:rPr>
        <w:fldChar w:fldCharType="end"/>
      </w:r>
      <w:r>
        <w:rPr>
          <w:color w:val="auto"/>
          <w:sz w:val="28"/>
          <w:szCs w:val="28"/>
          <w:highlight w:val="none"/>
        </w:rPr>
        <w:fldChar w:fldCharType="end"/>
      </w:r>
    </w:p>
    <w:p w14:paraId="62A5C7B4">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_Toc31874 </w:instrText>
      </w:r>
      <w:r>
        <w:rPr>
          <w:color w:val="auto"/>
          <w:sz w:val="28"/>
          <w:szCs w:val="28"/>
          <w:highlight w:val="none"/>
        </w:rPr>
        <w:fldChar w:fldCharType="separate"/>
      </w:r>
      <w:r>
        <w:rPr>
          <w:rFonts w:hint="eastAsia" w:eastAsia="黑体"/>
          <w:color w:val="auto"/>
          <w:sz w:val="28"/>
          <w:szCs w:val="28"/>
          <w:highlight w:val="none"/>
        </w:rPr>
        <w:t>一、培育壮大创新主体</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_Toc31874 </w:instrText>
      </w:r>
      <w:r>
        <w:rPr>
          <w:color w:val="auto"/>
          <w:sz w:val="28"/>
          <w:szCs w:val="28"/>
          <w:highlight w:val="none"/>
        </w:rPr>
        <w:fldChar w:fldCharType="separate"/>
      </w:r>
      <w:r>
        <w:rPr>
          <w:color w:val="auto"/>
          <w:sz w:val="28"/>
          <w:szCs w:val="28"/>
          <w:highlight w:val="none"/>
        </w:rPr>
        <w:t>52</w:t>
      </w:r>
      <w:r>
        <w:rPr>
          <w:color w:val="auto"/>
          <w:sz w:val="28"/>
          <w:szCs w:val="28"/>
          <w:highlight w:val="none"/>
        </w:rPr>
        <w:fldChar w:fldCharType="end"/>
      </w:r>
      <w:r>
        <w:rPr>
          <w:color w:val="auto"/>
          <w:sz w:val="28"/>
          <w:szCs w:val="28"/>
          <w:highlight w:val="none"/>
        </w:rPr>
        <w:fldChar w:fldCharType="end"/>
      </w:r>
    </w:p>
    <w:p w14:paraId="6A668AC3">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_Toc8457 </w:instrText>
      </w:r>
      <w:r>
        <w:rPr>
          <w:color w:val="auto"/>
          <w:sz w:val="28"/>
          <w:szCs w:val="28"/>
          <w:highlight w:val="none"/>
        </w:rPr>
        <w:fldChar w:fldCharType="separate"/>
      </w:r>
      <w:r>
        <w:rPr>
          <w:rFonts w:hint="eastAsia"/>
          <w:bCs w:val="0"/>
          <w:color w:val="auto"/>
          <w:sz w:val="28"/>
          <w:szCs w:val="28"/>
          <w:highlight w:val="none"/>
        </w:rPr>
        <w:t>（一）实施创新型领军企业培育计划</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_Toc8457 </w:instrText>
      </w:r>
      <w:r>
        <w:rPr>
          <w:color w:val="auto"/>
          <w:sz w:val="28"/>
          <w:szCs w:val="28"/>
          <w:highlight w:val="none"/>
        </w:rPr>
        <w:fldChar w:fldCharType="separate"/>
      </w:r>
      <w:r>
        <w:rPr>
          <w:color w:val="auto"/>
          <w:sz w:val="28"/>
          <w:szCs w:val="28"/>
          <w:highlight w:val="none"/>
        </w:rPr>
        <w:t>52</w:t>
      </w:r>
      <w:r>
        <w:rPr>
          <w:color w:val="auto"/>
          <w:sz w:val="28"/>
          <w:szCs w:val="28"/>
          <w:highlight w:val="none"/>
        </w:rPr>
        <w:fldChar w:fldCharType="end"/>
      </w:r>
      <w:r>
        <w:rPr>
          <w:color w:val="auto"/>
          <w:sz w:val="28"/>
          <w:szCs w:val="28"/>
          <w:highlight w:val="none"/>
        </w:rPr>
        <w:fldChar w:fldCharType="end"/>
      </w:r>
    </w:p>
    <w:p w14:paraId="30A20673">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_Toc18946 </w:instrText>
      </w:r>
      <w:r>
        <w:rPr>
          <w:color w:val="auto"/>
          <w:sz w:val="28"/>
          <w:szCs w:val="28"/>
          <w:highlight w:val="none"/>
        </w:rPr>
        <w:fldChar w:fldCharType="separate"/>
      </w:r>
      <w:r>
        <w:rPr>
          <w:rFonts w:hint="eastAsia"/>
          <w:bCs w:val="0"/>
          <w:color w:val="auto"/>
          <w:sz w:val="28"/>
          <w:szCs w:val="28"/>
          <w:highlight w:val="none"/>
        </w:rPr>
        <w:t>（二）大力培育高新技术企业</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_Toc18946 </w:instrText>
      </w:r>
      <w:r>
        <w:rPr>
          <w:color w:val="auto"/>
          <w:sz w:val="28"/>
          <w:szCs w:val="28"/>
          <w:highlight w:val="none"/>
        </w:rPr>
        <w:fldChar w:fldCharType="separate"/>
      </w:r>
      <w:r>
        <w:rPr>
          <w:color w:val="auto"/>
          <w:sz w:val="28"/>
          <w:szCs w:val="28"/>
          <w:highlight w:val="none"/>
        </w:rPr>
        <w:t>53</w:t>
      </w:r>
      <w:r>
        <w:rPr>
          <w:color w:val="auto"/>
          <w:sz w:val="28"/>
          <w:szCs w:val="28"/>
          <w:highlight w:val="none"/>
        </w:rPr>
        <w:fldChar w:fldCharType="end"/>
      </w:r>
      <w:r>
        <w:rPr>
          <w:color w:val="auto"/>
          <w:sz w:val="28"/>
          <w:szCs w:val="28"/>
          <w:highlight w:val="none"/>
        </w:rPr>
        <w:fldChar w:fldCharType="end"/>
      </w:r>
    </w:p>
    <w:p w14:paraId="4B325456">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_Toc11930 </w:instrText>
      </w:r>
      <w:r>
        <w:rPr>
          <w:color w:val="auto"/>
          <w:sz w:val="28"/>
          <w:szCs w:val="28"/>
          <w:highlight w:val="none"/>
        </w:rPr>
        <w:fldChar w:fldCharType="separate"/>
      </w:r>
      <w:r>
        <w:rPr>
          <w:rFonts w:hint="eastAsia"/>
          <w:bCs w:val="0"/>
          <w:color w:val="auto"/>
          <w:sz w:val="28"/>
          <w:szCs w:val="28"/>
          <w:highlight w:val="none"/>
        </w:rPr>
        <w:t>（三）加快发展科技型中小企业</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_Toc11930 </w:instrText>
      </w:r>
      <w:r>
        <w:rPr>
          <w:color w:val="auto"/>
          <w:sz w:val="28"/>
          <w:szCs w:val="28"/>
          <w:highlight w:val="none"/>
        </w:rPr>
        <w:fldChar w:fldCharType="separate"/>
      </w:r>
      <w:r>
        <w:rPr>
          <w:color w:val="auto"/>
          <w:sz w:val="28"/>
          <w:szCs w:val="28"/>
          <w:highlight w:val="none"/>
        </w:rPr>
        <w:t>53</w:t>
      </w:r>
      <w:r>
        <w:rPr>
          <w:color w:val="auto"/>
          <w:sz w:val="28"/>
          <w:szCs w:val="28"/>
          <w:highlight w:val="none"/>
        </w:rPr>
        <w:fldChar w:fldCharType="end"/>
      </w:r>
      <w:r>
        <w:rPr>
          <w:color w:val="auto"/>
          <w:sz w:val="28"/>
          <w:szCs w:val="28"/>
          <w:highlight w:val="none"/>
        </w:rPr>
        <w:fldChar w:fldCharType="end"/>
      </w:r>
    </w:p>
    <w:p w14:paraId="4E934258">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_Toc14521 </w:instrText>
      </w:r>
      <w:r>
        <w:rPr>
          <w:color w:val="auto"/>
          <w:sz w:val="28"/>
          <w:szCs w:val="28"/>
          <w:highlight w:val="none"/>
        </w:rPr>
        <w:fldChar w:fldCharType="separate"/>
      </w:r>
      <w:r>
        <w:rPr>
          <w:rFonts w:hint="eastAsia" w:eastAsia="黑体"/>
          <w:color w:val="auto"/>
          <w:sz w:val="28"/>
          <w:szCs w:val="28"/>
          <w:highlight w:val="none"/>
        </w:rPr>
        <w:t>二、全面增强创新能力</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_Toc14521 </w:instrText>
      </w:r>
      <w:r>
        <w:rPr>
          <w:color w:val="auto"/>
          <w:sz w:val="28"/>
          <w:szCs w:val="28"/>
          <w:highlight w:val="none"/>
        </w:rPr>
        <w:fldChar w:fldCharType="separate"/>
      </w:r>
      <w:r>
        <w:rPr>
          <w:color w:val="auto"/>
          <w:sz w:val="28"/>
          <w:szCs w:val="28"/>
          <w:highlight w:val="none"/>
        </w:rPr>
        <w:t>54</w:t>
      </w:r>
      <w:r>
        <w:rPr>
          <w:color w:val="auto"/>
          <w:sz w:val="28"/>
          <w:szCs w:val="28"/>
          <w:highlight w:val="none"/>
        </w:rPr>
        <w:fldChar w:fldCharType="end"/>
      </w:r>
      <w:r>
        <w:rPr>
          <w:color w:val="auto"/>
          <w:sz w:val="28"/>
          <w:szCs w:val="28"/>
          <w:highlight w:val="none"/>
        </w:rPr>
        <w:fldChar w:fldCharType="end"/>
      </w:r>
    </w:p>
    <w:p w14:paraId="6C523225">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_Toc12118 </w:instrText>
      </w:r>
      <w:r>
        <w:rPr>
          <w:color w:val="auto"/>
          <w:sz w:val="28"/>
          <w:szCs w:val="28"/>
          <w:highlight w:val="none"/>
        </w:rPr>
        <w:fldChar w:fldCharType="separate"/>
      </w:r>
      <w:r>
        <w:rPr>
          <w:rFonts w:hint="eastAsia"/>
          <w:bCs w:val="0"/>
          <w:color w:val="auto"/>
          <w:sz w:val="28"/>
          <w:szCs w:val="28"/>
          <w:highlight w:val="none"/>
        </w:rPr>
        <w:t>（一）加强产业关键技术研发和应用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_Toc12118 </w:instrText>
      </w:r>
      <w:r>
        <w:rPr>
          <w:color w:val="auto"/>
          <w:sz w:val="28"/>
          <w:szCs w:val="28"/>
          <w:highlight w:val="none"/>
        </w:rPr>
        <w:fldChar w:fldCharType="separate"/>
      </w:r>
      <w:r>
        <w:rPr>
          <w:color w:val="auto"/>
          <w:sz w:val="28"/>
          <w:szCs w:val="28"/>
          <w:highlight w:val="none"/>
        </w:rPr>
        <w:t>54</w:t>
      </w:r>
      <w:r>
        <w:rPr>
          <w:color w:val="auto"/>
          <w:sz w:val="28"/>
          <w:szCs w:val="28"/>
          <w:highlight w:val="none"/>
        </w:rPr>
        <w:fldChar w:fldCharType="end"/>
      </w:r>
      <w:r>
        <w:rPr>
          <w:color w:val="auto"/>
          <w:sz w:val="28"/>
          <w:szCs w:val="28"/>
          <w:highlight w:val="none"/>
        </w:rPr>
        <w:fldChar w:fldCharType="end"/>
      </w:r>
    </w:p>
    <w:p w14:paraId="1015C3F3">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_Toc5763 </w:instrText>
      </w:r>
      <w:r>
        <w:rPr>
          <w:color w:val="auto"/>
          <w:sz w:val="28"/>
          <w:szCs w:val="28"/>
          <w:highlight w:val="none"/>
        </w:rPr>
        <w:fldChar w:fldCharType="separate"/>
      </w:r>
      <w:r>
        <w:rPr>
          <w:rFonts w:hint="eastAsia"/>
          <w:bCs w:val="0"/>
          <w:color w:val="auto"/>
          <w:sz w:val="28"/>
          <w:szCs w:val="28"/>
          <w:highlight w:val="none"/>
        </w:rPr>
        <w:t>（二）推进科技创新平台建设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_Toc5763 </w:instrText>
      </w:r>
      <w:r>
        <w:rPr>
          <w:color w:val="auto"/>
          <w:sz w:val="28"/>
          <w:szCs w:val="28"/>
          <w:highlight w:val="none"/>
        </w:rPr>
        <w:fldChar w:fldCharType="separate"/>
      </w:r>
      <w:r>
        <w:rPr>
          <w:color w:val="auto"/>
          <w:sz w:val="28"/>
          <w:szCs w:val="28"/>
          <w:highlight w:val="none"/>
        </w:rPr>
        <w:t>54</w:t>
      </w:r>
      <w:r>
        <w:rPr>
          <w:color w:val="auto"/>
          <w:sz w:val="28"/>
          <w:szCs w:val="28"/>
          <w:highlight w:val="none"/>
        </w:rPr>
        <w:fldChar w:fldCharType="end"/>
      </w:r>
      <w:r>
        <w:rPr>
          <w:color w:val="auto"/>
          <w:sz w:val="28"/>
          <w:szCs w:val="28"/>
          <w:highlight w:val="none"/>
        </w:rPr>
        <w:fldChar w:fldCharType="end"/>
      </w:r>
    </w:p>
    <w:p w14:paraId="7EA81A98">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_Toc8738 </w:instrText>
      </w:r>
      <w:r>
        <w:rPr>
          <w:color w:val="auto"/>
          <w:sz w:val="28"/>
          <w:szCs w:val="28"/>
          <w:highlight w:val="none"/>
        </w:rPr>
        <w:fldChar w:fldCharType="separate"/>
      </w:r>
      <w:r>
        <w:rPr>
          <w:rFonts w:hint="eastAsia"/>
          <w:bCs w:val="0"/>
          <w:color w:val="auto"/>
          <w:sz w:val="28"/>
          <w:szCs w:val="28"/>
          <w:highlight w:val="none"/>
        </w:rPr>
        <w:t>（三）推进科技园区提档升级</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_Toc8738 </w:instrText>
      </w:r>
      <w:r>
        <w:rPr>
          <w:color w:val="auto"/>
          <w:sz w:val="28"/>
          <w:szCs w:val="28"/>
          <w:highlight w:val="none"/>
        </w:rPr>
        <w:fldChar w:fldCharType="separate"/>
      </w:r>
      <w:r>
        <w:rPr>
          <w:color w:val="auto"/>
          <w:sz w:val="28"/>
          <w:szCs w:val="28"/>
          <w:highlight w:val="none"/>
        </w:rPr>
        <w:t>55</w:t>
      </w:r>
      <w:r>
        <w:rPr>
          <w:color w:val="auto"/>
          <w:sz w:val="28"/>
          <w:szCs w:val="28"/>
          <w:highlight w:val="none"/>
        </w:rPr>
        <w:fldChar w:fldCharType="end"/>
      </w:r>
      <w:r>
        <w:rPr>
          <w:color w:val="auto"/>
          <w:sz w:val="28"/>
          <w:szCs w:val="28"/>
          <w:highlight w:val="none"/>
        </w:rPr>
        <w:fldChar w:fldCharType="end"/>
      </w:r>
    </w:p>
    <w:p w14:paraId="7E8625C0">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_Toc5438 </w:instrText>
      </w:r>
      <w:r>
        <w:rPr>
          <w:color w:val="auto"/>
          <w:sz w:val="28"/>
          <w:szCs w:val="28"/>
          <w:highlight w:val="none"/>
        </w:rPr>
        <w:fldChar w:fldCharType="separate"/>
      </w:r>
      <w:r>
        <w:rPr>
          <w:rFonts w:hint="eastAsia"/>
          <w:bCs w:val="0"/>
          <w:color w:val="auto"/>
          <w:sz w:val="28"/>
          <w:szCs w:val="28"/>
          <w:highlight w:val="none"/>
        </w:rPr>
        <w:t>（四）构建产学研深度融合技术创新体系</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_Toc5438 </w:instrText>
      </w:r>
      <w:r>
        <w:rPr>
          <w:color w:val="auto"/>
          <w:sz w:val="28"/>
          <w:szCs w:val="28"/>
          <w:highlight w:val="none"/>
        </w:rPr>
        <w:fldChar w:fldCharType="separate"/>
      </w:r>
      <w:r>
        <w:rPr>
          <w:color w:val="auto"/>
          <w:sz w:val="28"/>
          <w:szCs w:val="28"/>
          <w:highlight w:val="none"/>
        </w:rPr>
        <w:t>55</w:t>
      </w:r>
      <w:r>
        <w:rPr>
          <w:color w:val="auto"/>
          <w:sz w:val="28"/>
          <w:szCs w:val="28"/>
          <w:highlight w:val="none"/>
        </w:rPr>
        <w:fldChar w:fldCharType="end"/>
      </w:r>
      <w:r>
        <w:rPr>
          <w:color w:val="auto"/>
          <w:sz w:val="28"/>
          <w:szCs w:val="28"/>
          <w:highlight w:val="none"/>
        </w:rPr>
        <w:fldChar w:fldCharType="end"/>
      </w:r>
    </w:p>
    <w:p w14:paraId="0654ECB4">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_Toc11694 </w:instrText>
      </w:r>
      <w:r>
        <w:rPr>
          <w:color w:val="auto"/>
          <w:sz w:val="28"/>
          <w:szCs w:val="28"/>
          <w:highlight w:val="none"/>
        </w:rPr>
        <w:fldChar w:fldCharType="separate"/>
      </w:r>
      <w:r>
        <w:rPr>
          <w:rFonts w:hint="eastAsia"/>
          <w:bCs w:val="0"/>
          <w:color w:val="auto"/>
          <w:sz w:val="28"/>
          <w:szCs w:val="28"/>
          <w:highlight w:val="none"/>
        </w:rPr>
        <w:t>（五）推动区域协同创新</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_Toc11694 </w:instrText>
      </w:r>
      <w:r>
        <w:rPr>
          <w:color w:val="auto"/>
          <w:sz w:val="28"/>
          <w:szCs w:val="28"/>
          <w:highlight w:val="none"/>
        </w:rPr>
        <w:fldChar w:fldCharType="separate"/>
      </w:r>
      <w:r>
        <w:rPr>
          <w:color w:val="auto"/>
          <w:sz w:val="28"/>
          <w:szCs w:val="28"/>
          <w:highlight w:val="none"/>
        </w:rPr>
        <w:t>56</w:t>
      </w:r>
      <w:r>
        <w:rPr>
          <w:color w:val="auto"/>
          <w:sz w:val="28"/>
          <w:szCs w:val="28"/>
          <w:highlight w:val="none"/>
        </w:rPr>
        <w:fldChar w:fldCharType="end"/>
      </w:r>
      <w:r>
        <w:rPr>
          <w:color w:val="auto"/>
          <w:sz w:val="28"/>
          <w:szCs w:val="28"/>
          <w:highlight w:val="none"/>
        </w:rPr>
        <w:fldChar w:fldCharType="end"/>
      </w:r>
    </w:p>
    <w:p w14:paraId="0081A540">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_Toc13314 </w:instrText>
      </w:r>
      <w:r>
        <w:rPr>
          <w:color w:val="auto"/>
          <w:sz w:val="28"/>
          <w:szCs w:val="28"/>
          <w:highlight w:val="none"/>
        </w:rPr>
        <w:fldChar w:fldCharType="separate"/>
      </w:r>
      <w:r>
        <w:rPr>
          <w:rFonts w:hint="eastAsia" w:eastAsia="黑体"/>
          <w:color w:val="auto"/>
          <w:sz w:val="28"/>
          <w:szCs w:val="28"/>
          <w:highlight w:val="none"/>
        </w:rPr>
        <w:t>三、大力优化创新生态</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_Toc13314 </w:instrText>
      </w:r>
      <w:r>
        <w:rPr>
          <w:color w:val="auto"/>
          <w:sz w:val="28"/>
          <w:szCs w:val="28"/>
          <w:highlight w:val="none"/>
        </w:rPr>
        <w:fldChar w:fldCharType="separate"/>
      </w:r>
      <w:r>
        <w:rPr>
          <w:color w:val="auto"/>
          <w:sz w:val="28"/>
          <w:szCs w:val="28"/>
          <w:highlight w:val="none"/>
        </w:rPr>
        <w:t>57</w:t>
      </w:r>
      <w:r>
        <w:rPr>
          <w:color w:val="auto"/>
          <w:sz w:val="28"/>
          <w:szCs w:val="28"/>
          <w:highlight w:val="none"/>
        </w:rPr>
        <w:fldChar w:fldCharType="end"/>
      </w:r>
      <w:r>
        <w:rPr>
          <w:color w:val="auto"/>
          <w:sz w:val="28"/>
          <w:szCs w:val="28"/>
          <w:highlight w:val="none"/>
        </w:rPr>
        <w:fldChar w:fldCharType="end"/>
      </w:r>
    </w:p>
    <w:p w14:paraId="27D88CE9">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_Toc847 </w:instrText>
      </w:r>
      <w:r>
        <w:rPr>
          <w:color w:val="auto"/>
          <w:sz w:val="28"/>
          <w:szCs w:val="28"/>
          <w:highlight w:val="none"/>
        </w:rPr>
        <w:fldChar w:fldCharType="separate"/>
      </w:r>
      <w:r>
        <w:rPr>
          <w:rFonts w:hint="eastAsia"/>
          <w:bCs w:val="0"/>
          <w:color w:val="auto"/>
          <w:sz w:val="28"/>
          <w:szCs w:val="28"/>
          <w:highlight w:val="none"/>
        </w:rPr>
        <w:t>（一）完善科技创新体制机制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_Toc847 </w:instrText>
      </w:r>
      <w:r>
        <w:rPr>
          <w:color w:val="auto"/>
          <w:sz w:val="28"/>
          <w:szCs w:val="28"/>
          <w:highlight w:val="none"/>
        </w:rPr>
        <w:fldChar w:fldCharType="separate"/>
      </w:r>
      <w:r>
        <w:rPr>
          <w:color w:val="auto"/>
          <w:sz w:val="28"/>
          <w:szCs w:val="28"/>
          <w:highlight w:val="none"/>
        </w:rPr>
        <w:t>57</w:t>
      </w:r>
      <w:r>
        <w:rPr>
          <w:color w:val="auto"/>
          <w:sz w:val="28"/>
          <w:szCs w:val="28"/>
          <w:highlight w:val="none"/>
        </w:rPr>
        <w:fldChar w:fldCharType="end"/>
      </w:r>
      <w:r>
        <w:rPr>
          <w:color w:val="auto"/>
          <w:sz w:val="28"/>
          <w:szCs w:val="28"/>
          <w:highlight w:val="none"/>
        </w:rPr>
        <w:fldChar w:fldCharType="end"/>
      </w:r>
    </w:p>
    <w:p w14:paraId="2E899E13">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_Toc15103 </w:instrText>
      </w:r>
      <w:r>
        <w:rPr>
          <w:color w:val="auto"/>
          <w:sz w:val="28"/>
          <w:szCs w:val="28"/>
          <w:highlight w:val="none"/>
        </w:rPr>
        <w:fldChar w:fldCharType="separate"/>
      </w:r>
      <w:r>
        <w:rPr>
          <w:rFonts w:hint="eastAsia"/>
          <w:bCs w:val="0"/>
          <w:color w:val="auto"/>
          <w:sz w:val="28"/>
          <w:szCs w:val="28"/>
          <w:highlight w:val="none"/>
        </w:rPr>
        <w:t>（二）激发人才创新创造活力</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_Toc15103 </w:instrText>
      </w:r>
      <w:r>
        <w:rPr>
          <w:color w:val="auto"/>
          <w:sz w:val="28"/>
          <w:szCs w:val="28"/>
          <w:highlight w:val="none"/>
        </w:rPr>
        <w:fldChar w:fldCharType="separate"/>
      </w:r>
      <w:r>
        <w:rPr>
          <w:color w:val="auto"/>
          <w:sz w:val="28"/>
          <w:szCs w:val="28"/>
          <w:highlight w:val="none"/>
        </w:rPr>
        <w:t>58</w:t>
      </w:r>
      <w:r>
        <w:rPr>
          <w:color w:val="auto"/>
          <w:sz w:val="28"/>
          <w:szCs w:val="28"/>
          <w:highlight w:val="none"/>
        </w:rPr>
        <w:fldChar w:fldCharType="end"/>
      </w:r>
      <w:r>
        <w:rPr>
          <w:color w:val="auto"/>
          <w:sz w:val="28"/>
          <w:szCs w:val="28"/>
          <w:highlight w:val="none"/>
        </w:rPr>
        <w:fldChar w:fldCharType="end"/>
      </w:r>
    </w:p>
    <w:p w14:paraId="33F4319B">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_Toc32216 </w:instrText>
      </w:r>
      <w:r>
        <w:rPr>
          <w:color w:val="auto"/>
          <w:sz w:val="28"/>
          <w:szCs w:val="28"/>
          <w:highlight w:val="none"/>
        </w:rPr>
        <w:fldChar w:fldCharType="separate"/>
      </w:r>
      <w:r>
        <w:rPr>
          <w:rFonts w:hint="eastAsia"/>
          <w:bCs w:val="0"/>
          <w:color w:val="auto"/>
          <w:sz w:val="28"/>
          <w:szCs w:val="28"/>
          <w:highlight w:val="none"/>
        </w:rPr>
        <w:t>（三）培育倡导创新文化</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_Toc32216 </w:instrText>
      </w:r>
      <w:r>
        <w:rPr>
          <w:color w:val="auto"/>
          <w:sz w:val="28"/>
          <w:szCs w:val="28"/>
          <w:highlight w:val="none"/>
        </w:rPr>
        <w:fldChar w:fldCharType="separate"/>
      </w:r>
      <w:r>
        <w:rPr>
          <w:color w:val="auto"/>
          <w:sz w:val="28"/>
          <w:szCs w:val="28"/>
          <w:highlight w:val="none"/>
        </w:rPr>
        <w:t>58</w:t>
      </w:r>
      <w:r>
        <w:rPr>
          <w:color w:val="auto"/>
          <w:sz w:val="28"/>
          <w:szCs w:val="28"/>
          <w:highlight w:val="none"/>
        </w:rPr>
        <w:fldChar w:fldCharType="end"/>
      </w:r>
      <w:r>
        <w:rPr>
          <w:color w:val="auto"/>
          <w:sz w:val="28"/>
          <w:szCs w:val="28"/>
          <w:highlight w:val="none"/>
        </w:rPr>
        <w:fldChar w:fldCharType="end"/>
      </w:r>
    </w:p>
    <w:p w14:paraId="442D3B7A">
      <w:pPr>
        <w:pStyle w:val="13"/>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_Toc10107 </w:instrText>
      </w:r>
      <w:r>
        <w:rPr>
          <w:color w:val="auto"/>
          <w:sz w:val="28"/>
          <w:szCs w:val="28"/>
          <w:highlight w:val="none"/>
        </w:rPr>
        <w:fldChar w:fldCharType="separate"/>
      </w:r>
      <w:r>
        <w:rPr>
          <w:rFonts w:hint="eastAsia" w:ascii="宋体" w:hAnsi="宋体" w:eastAsia="宋体" w:cs="宋体"/>
          <w:b/>
          <w:bCs/>
          <w:color w:val="auto"/>
          <w:kern w:val="2"/>
          <w:sz w:val="28"/>
          <w:szCs w:val="28"/>
          <w:highlight w:val="none"/>
          <w:lang w:val="en-US" w:eastAsia="zh-CN" w:bidi="ar-SA"/>
        </w:rPr>
        <w:t>第六章　全面深化改革扩大开放，增强经济社会发展动力和活力</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_Toc10107 </w:instrText>
      </w:r>
      <w:r>
        <w:rPr>
          <w:color w:val="auto"/>
          <w:sz w:val="28"/>
          <w:szCs w:val="28"/>
          <w:highlight w:val="none"/>
        </w:rPr>
        <w:fldChar w:fldCharType="separate"/>
      </w:r>
      <w:r>
        <w:rPr>
          <w:color w:val="auto"/>
          <w:sz w:val="28"/>
          <w:szCs w:val="28"/>
          <w:highlight w:val="none"/>
        </w:rPr>
        <w:t>59</w:t>
      </w:r>
      <w:r>
        <w:rPr>
          <w:color w:val="auto"/>
          <w:sz w:val="28"/>
          <w:szCs w:val="28"/>
          <w:highlight w:val="none"/>
        </w:rPr>
        <w:fldChar w:fldCharType="end"/>
      </w:r>
      <w:r>
        <w:rPr>
          <w:color w:val="auto"/>
          <w:sz w:val="28"/>
          <w:szCs w:val="28"/>
          <w:highlight w:val="none"/>
        </w:rPr>
        <w:fldChar w:fldCharType="end"/>
      </w:r>
    </w:p>
    <w:p w14:paraId="035F2D17">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_Toc1080 </w:instrText>
      </w:r>
      <w:r>
        <w:rPr>
          <w:color w:val="auto"/>
          <w:sz w:val="28"/>
          <w:szCs w:val="28"/>
          <w:highlight w:val="none"/>
        </w:rPr>
        <w:fldChar w:fldCharType="separate"/>
      </w:r>
      <w:r>
        <w:rPr>
          <w:rFonts w:hint="eastAsia" w:eastAsia="黑体"/>
          <w:color w:val="auto"/>
          <w:sz w:val="28"/>
          <w:szCs w:val="28"/>
          <w:highlight w:val="none"/>
        </w:rPr>
        <w:t>一、持续深化重点领域改革</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_Toc1080 </w:instrText>
      </w:r>
      <w:r>
        <w:rPr>
          <w:color w:val="auto"/>
          <w:sz w:val="28"/>
          <w:szCs w:val="28"/>
          <w:highlight w:val="none"/>
        </w:rPr>
        <w:fldChar w:fldCharType="separate"/>
      </w:r>
      <w:r>
        <w:rPr>
          <w:color w:val="auto"/>
          <w:sz w:val="28"/>
          <w:szCs w:val="28"/>
          <w:highlight w:val="none"/>
        </w:rPr>
        <w:t>59</w:t>
      </w:r>
      <w:r>
        <w:rPr>
          <w:color w:val="auto"/>
          <w:sz w:val="28"/>
          <w:szCs w:val="28"/>
          <w:highlight w:val="none"/>
        </w:rPr>
        <w:fldChar w:fldCharType="end"/>
      </w:r>
      <w:r>
        <w:rPr>
          <w:color w:val="auto"/>
          <w:sz w:val="28"/>
          <w:szCs w:val="28"/>
          <w:highlight w:val="none"/>
        </w:rPr>
        <w:fldChar w:fldCharType="end"/>
      </w:r>
    </w:p>
    <w:p w14:paraId="7FB615A1">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_Toc4225 </w:instrText>
      </w:r>
      <w:r>
        <w:rPr>
          <w:color w:val="auto"/>
          <w:sz w:val="28"/>
          <w:szCs w:val="28"/>
          <w:highlight w:val="none"/>
        </w:rPr>
        <w:fldChar w:fldCharType="separate"/>
      </w:r>
      <w:r>
        <w:rPr>
          <w:rFonts w:hint="eastAsia"/>
          <w:bCs w:val="0"/>
          <w:color w:val="auto"/>
          <w:sz w:val="28"/>
          <w:szCs w:val="28"/>
          <w:highlight w:val="none"/>
        </w:rPr>
        <w:t>（一）深化投融资体制改革</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_Toc4225 </w:instrText>
      </w:r>
      <w:r>
        <w:rPr>
          <w:color w:val="auto"/>
          <w:sz w:val="28"/>
          <w:szCs w:val="28"/>
          <w:highlight w:val="none"/>
        </w:rPr>
        <w:fldChar w:fldCharType="separate"/>
      </w:r>
      <w:r>
        <w:rPr>
          <w:color w:val="auto"/>
          <w:sz w:val="28"/>
          <w:szCs w:val="28"/>
          <w:highlight w:val="none"/>
        </w:rPr>
        <w:t>59</w:t>
      </w:r>
      <w:r>
        <w:rPr>
          <w:color w:val="auto"/>
          <w:sz w:val="28"/>
          <w:szCs w:val="28"/>
          <w:highlight w:val="none"/>
        </w:rPr>
        <w:fldChar w:fldCharType="end"/>
      </w:r>
      <w:r>
        <w:rPr>
          <w:color w:val="auto"/>
          <w:sz w:val="28"/>
          <w:szCs w:val="28"/>
          <w:highlight w:val="none"/>
        </w:rPr>
        <w:fldChar w:fldCharType="end"/>
      </w:r>
    </w:p>
    <w:p w14:paraId="10B3251A">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_Toc13782 </w:instrText>
      </w:r>
      <w:r>
        <w:rPr>
          <w:color w:val="auto"/>
          <w:sz w:val="28"/>
          <w:szCs w:val="28"/>
          <w:highlight w:val="none"/>
        </w:rPr>
        <w:fldChar w:fldCharType="separate"/>
      </w:r>
      <w:r>
        <w:rPr>
          <w:rFonts w:hint="eastAsia"/>
          <w:bCs w:val="0"/>
          <w:color w:val="auto"/>
          <w:sz w:val="28"/>
          <w:szCs w:val="28"/>
          <w:highlight w:val="none"/>
        </w:rPr>
        <w:t>（</w:t>
      </w:r>
      <w:r>
        <w:rPr>
          <w:rFonts w:hint="eastAsia"/>
          <w:bCs w:val="0"/>
          <w:color w:val="auto"/>
          <w:sz w:val="28"/>
          <w:szCs w:val="28"/>
          <w:highlight w:val="none"/>
          <w:lang w:eastAsia="zh-CN"/>
        </w:rPr>
        <w:t>二</w:t>
      </w:r>
      <w:r>
        <w:rPr>
          <w:rFonts w:hint="eastAsia"/>
          <w:bCs w:val="0"/>
          <w:color w:val="auto"/>
          <w:sz w:val="28"/>
          <w:szCs w:val="28"/>
          <w:highlight w:val="none"/>
        </w:rPr>
        <w:t>）深化开发区改革</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_Toc13782 </w:instrText>
      </w:r>
      <w:r>
        <w:rPr>
          <w:color w:val="auto"/>
          <w:sz w:val="28"/>
          <w:szCs w:val="28"/>
          <w:highlight w:val="none"/>
        </w:rPr>
        <w:fldChar w:fldCharType="separate"/>
      </w:r>
      <w:r>
        <w:rPr>
          <w:color w:val="auto"/>
          <w:sz w:val="28"/>
          <w:szCs w:val="28"/>
          <w:highlight w:val="none"/>
        </w:rPr>
        <w:t>60</w:t>
      </w:r>
      <w:r>
        <w:rPr>
          <w:color w:val="auto"/>
          <w:sz w:val="28"/>
          <w:szCs w:val="28"/>
          <w:highlight w:val="none"/>
        </w:rPr>
        <w:fldChar w:fldCharType="end"/>
      </w:r>
      <w:r>
        <w:rPr>
          <w:color w:val="auto"/>
          <w:sz w:val="28"/>
          <w:szCs w:val="28"/>
          <w:highlight w:val="none"/>
        </w:rPr>
        <w:fldChar w:fldCharType="end"/>
      </w:r>
    </w:p>
    <w:p w14:paraId="54D7A015">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default" w:eastAsia="楷体_GB2312"/>
          <w:bCs w:val="0"/>
          <w:color w:val="auto"/>
          <w:sz w:val="28"/>
          <w:szCs w:val="28"/>
          <w:highlight w:val="none"/>
          <w:lang w:val="en-US" w:eastAsia="zh-CN"/>
        </w:rPr>
      </w:pPr>
      <w:r>
        <w:rPr>
          <w:rFonts w:hint="eastAsia"/>
          <w:bCs w:val="0"/>
          <w:color w:val="auto"/>
          <w:sz w:val="28"/>
          <w:szCs w:val="28"/>
          <w:highlight w:val="none"/>
        </w:rPr>
        <w:t>（</w:t>
      </w:r>
      <w:r>
        <w:rPr>
          <w:rFonts w:hint="eastAsia"/>
          <w:bCs w:val="0"/>
          <w:color w:val="auto"/>
          <w:sz w:val="28"/>
          <w:szCs w:val="28"/>
          <w:highlight w:val="none"/>
          <w:lang w:eastAsia="zh-CN"/>
        </w:rPr>
        <w:t>三</w:t>
      </w:r>
      <w:r>
        <w:rPr>
          <w:rFonts w:hint="eastAsia"/>
          <w:bCs w:val="0"/>
          <w:color w:val="auto"/>
          <w:sz w:val="28"/>
          <w:szCs w:val="28"/>
          <w:highlight w:val="none"/>
        </w:rPr>
        <w:t>）深化国资国企改革</w:t>
      </w:r>
      <w:r>
        <w:rPr>
          <w:color w:val="auto"/>
          <w:sz w:val="28"/>
          <w:szCs w:val="28"/>
          <w:highlight w:val="none"/>
        </w:rPr>
        <w:tab/>
      </w:r>
      <w:r>
        <w:rPr>
          <w:rFonts w:hint="eastAsia"/>
          <w:color w:val="auto"/>
          <w:sz w:val="28"/>
          <w:szCs w:val="28"/>
          <w:highlight w:val="none"/>
          <w:lang w:val="en-US" w:eastAsia="zh-CN"/>
        </w:rPr>
        <w:t>62</w:t>
      </w:r>
    </w:p>
    <w:p w14:paraId="6FC3D40B">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eastAsia="楷体_GB2312"/>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_Toc4669 </w:instrText>
      </w:r>
      <w:r>
        <w:rPr>
          <w:color w:val="auto"/>
          <w:sz w:val="28"/>
          <w:szCs w:val="28"/>
          <w:highlight w:val="none"/>
        </w:rPr>
        <w:fldChar w:fldCharType="separate"/>
      </w:r>
      <w:r>
        <w:rPr>
          <w:rFonts w:hint="eastAsia"/>
          <w:bCs w:val="0"/>
          <w:color w:val="auto"/>
          <w:sz w:val="28"/>
          <w:szCs w:val="28"/>
          <w:highlight w:val="none"/>
        </w:rPr>
        <w:t>（</w:t>
      </w:r>
      <w:r>
        <w:rPr>
          <w:rFonts w:hint="eastAsia"/>
          <w:bCs w:val="0"/>
          <w:color w:val="auto"/>
          <w:sz w:val="28"/>
          <w:szCs w:val="28"/>
          <w:highlight w:val="none"/>
          <w:lang w:eastAsia="zh-CN"/>
        </w:rPr>
        <w:t>四</w:t>
      </w:r>
      <w:r>
        <w:rPr>
          <w:rFonts w:hint="eastAsia"/>
          <w:bCs w:val="0"/>
          <w:color w:val="auto"/>
          <w:sz w:val="28"/>
          <w:szCs w:val="28"/>
          <w:highlight w:val="none"/>
        </w:rPr>
        <w:t>）</w:t>
      </w:r>
      <w:r>
        <w:rPr>
          <w:rFonts w:hint="eastAsia"/>
          <w:bCs w:val="0"/>
          <w:color w:val="auto"/>
          <w:sz w:val="28"/>
          <w:szCs w:val="28"/>
          <w:highlight w:val="none"/>
          <w:lang w:eastAsia="zh-CN"/>
        </w:rPr>
        <w:t>建设高标准市场体系</w:t>
      </w:r>
      <w:r>
        <w:rPr>
          <w:color w:val="auto"/>
          <w:sz w:val="28"/>
          <w:szCs w:val="28"/>
          <w:highlight w:val="none"/>
        </w:rPr>
        <w:tab/>
      </w:r>
      <w:r>
        <w:rPr>
          <w:rFonts w:hint="eastAsia"/>
          <w:color w:val="auto"/>
          <w:sz w:val="28"/>
          <w:szCs w:val="28"/>
          <w:highlight w:val="none"/>
          <w:lang w:val="en-US" w:eastAsia="zh-CN"/>
        </w:rPr>
        <w:t>6</w:t>
      </w:r>
      <w:r>
        <w:rPr>
          <w:color w:val="auto"/>
          <w:sz w:val="28"/>
          <w:szCs w:val="28"/>
          <w:highlight w:val="none"/>
        </w:rPr>
        <w:fldChar w:fldCharType="end"/>
      </w:r>
      <w:r>
        <w:rPr>
          <w:rFonts w:hint="eastAsia"/>
          <w:color w:val="auto"/>
          <w:sz w:val="28"/>
          <w:szCs w:val="28"/>
          <w:highlight w:val="none"/>
          <w:lang w:val="en-US" w:eastAsia="zh-CN"/>
        </w:rPr>
        <w:t>2</w:t>
      </w:r>
    </w:p>
    <w:p w14:paraId="1E4F4A5C">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_Toc22277 </w:instrText>
      </w:r>
      <w:r>
        <w:rPr>
          <w:color w:val="auto"/>
          <w:sz w:val="28"/>
          <w:szCs w:val="28"/>
          <w:highlight w:val="none"/>
        </w:rPr>
        <w:fldChar w:fldCharType="separate"/>
      </w:r>
      <w:r>
        <w:rPr>
          <w:rFonts w:hint="eastAsia" w:eastAsia="黑体"/>
          <w:color w:val="auto"/>
          <w:sz w:val="28"/>
          <w:szCs w:val="28"/>
          <w:highlight w:val="none"/>
        </w:rPr>
        <w:t>二、全方位对外开放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_Toc22277 </w:instrText>
      </w:r>
      <w:r>
        <w:rPr>
          <w:color w:val="auto"/>
          <w:sz w:val="28"/>
          <w:szCs w:val="28"/>
          <w:highlight w:val="none"/>
        </w:rPr>
        <w:fldChar w:fldCharType="separate"/>
      </w:r>
      <w:r>
        <w:rPr>
          <w:color w:val="auto"/>
          <w:sz w:val="28"/>
          <w:szCs w:val="28"/>
          <w:highlight w:val="none"/>
        </w:rPr>
        <w:t>63</w:t>
      </w:r>
      <w:r>
        <w:rPr>
          <w:color w:val="auto"/>
          <w:sz w:val="28"/>
          <w:szCs w:val="28"/>
          <w:highlight w:val="none"/>
        </w:rPr>
        <w:fldChar w:fldCharType="end"/>
      </w:r>
      <w:r>
        <w:rPr>
          <w:color w:val="auto"/>
          <w:sz w:val="28"/>
          <w:szCs w:val="28"/>
          <w:highlight w:val="none"/>
        </w:rPr>
        <w:fldChar w:fldCharType="end"/>
      </w:r>
    </w:p>
    <w:p w14:paraId="712A623C">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_Toc32036 </w:instrText>
      </w:r>
      <w:r>
        <w:rPr>
          <w:color w:val="auto"/>
          <w:sz w:val="28"/>
          <w:szCs w:val="28"/>
          <w:highlight w:val="none"/>
        </w:rPr>
        <w:fldChar w:fldCharType="separate"/>
      </w:r>
      <w:r>
        <w:rPr>
          <w:rFonts w:hint="eastAsia"/>
          <w:bCs w:val="0"/>
          <w:color w:val="auto"/>
          <w:sz w:val="28"/>
          <w:szCs w:val="28"/>
          <w:highlight w:val="none"/>
        </w:rPr>
        <w:t>（一）</w:t>
      </w:r>
      <w:r>
        <w:rPr>
          <w:rFonts w:hint="eastAsia"/>
          <w:bCs w:val="0"/>
          <w:color w:val="auto"/>
          <w:sz w:val="28"/>
          <w:szCs w:val="28"/>
          <w:highlight w:val="none"/>
          <w:lang w:eastAsia="zh-CN"/>
        </w:rPr>
        <w:t>深度融入国家战略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_Toc32036 </w:instrText>
      </w:r>
      <w:r>
        <w:rPr>
          <w:color w:val="auto"/>
          <w:sz w:val="28"/>
          <w:szCs w:val="28"/>
          <w:highlight w:val="none"/>
        </w:rPr>
        <w:fldChar w:fldCharType="separate"/>
      </w:r>
      <w:r>
        <w:rPr>
          <w:color w:val="auto"/>
          <w:sz w:val="28"/>
          <w:szCs w:val="28"/>
          <w:highlight w:val="none"/>
        </w:rPr>
        <w:t>64</w:t>
      </w:r>
      <w:r>
        <w:rPr>
          <w:color w:val="auto"/>
          <w:sz w:val="28"/>
          <w:szCs w:val="28"/>
          <w:highlight w:val="none"/>
        </w:rPr>
        <w:fldChar w:fldCharType="end"/>
      </w:r>
      <w:r>
        <w:rPr>
          <w:color w:val="auto"/>
          <w:sz w:val="28"/>
          <w:szCs w:val="28"/>
          <w:highlight w:val="none"/>
        </w:rPr>
        <w:fldChar w:fldCharType="end"/>
      </w:r>
    </w:p>
    <w:p w14:paraId="3B53AA55">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_Toc26133 </w:instrText>
      </w:r>
      <w:r>
        <w:rPr>
          <w:color w:val="auto"/>
          <w:sz w:val="28"/>
          <w:szCs w:val="28"/>
          <w:highlight w:val="none"/>
        </w:rPr>
        <w:fldChar w:fldCharType="separate"/>
      </w:r>
      <w:r>
        <w:rPr>
          <w:rFonts w:hint="eastAsia"/>
          <w:bCs w:val="0"/>
          <w:color w:val="auto"/>
          <w:sz w:val="28"/>
          <w:szCs w:val="28"/>
          <w:highlight w:val="none"/>
        </w:rPr>
        <w:t>（</w:t>
      </w:r>
      <w:r>
        <w:rPr>
          <w:rFonts w:hint="eastAsia"/>
          <w:bCs w:val="0"/>
          <w:color w:val="auto"/>
          <w:sz w:val="28"/>
          <w:szCs w:val="28"/>
          <w:highlight w:val="none"/>
          <w:lang w:eastAsia="zh-CN"/>
        </w:rPr>
        <w:t>二</w:t>
      </w:r>
      <w:r>
        <w:rPr>
          <w:rFonts w:hint="eastAsia"/>
          <w:bCs w:val="0"/>
          <w:color w:val="auto"/>
          <w:sz w:val="28"/>
          <w:szCs w:val="28"/>
          <w:highlight w:val="none"/>
        </w:rPr>
        <w:t>）</w:t>
      </w:r>
      <w:r>
        <w:rPr>
          <w:rFonts w:hint="eastAsia"/>
          <w:bCs w:val="0"/>
          <w:color w:val="auto"/>
          <w:sz w:val="28"/>
          <w:szCs w:val="28"/>
          <w:highlight w:val="none"/>
          <w:lang w:eastAsia="zh-CN"/>
        </w:rPr>
        <w:t>有序推动港口转型升级发展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_Toc26133 </w:instrText>
      </w:r>
      <w:r>
        <w:rPr>
          <w:color w:val="auto"/>
          <w:sz w:val="28"/>
          <w:szCs w:val="28"/>
          <w:highlight w:val="none"/>
        </w:rPr>
        <w:fldChar w:fldCharType="separate"/>
      </w:r>
      <w:r>
        <w:rPr>
          <w:color w:val="auto"/>
          <w:sz w:val="28"/>
          <w:szCs w:val="28"/>
          <w:highlight w:val="none"/>
        </w:rPr>
        <w:t>65</w:t>
      </w:r>
      <w:r>
        <w:rPr>
          <w:color w:val="auto"/>
          <w:sz w:val="28"/>
          <w:szCs w:val="28"/>
          <w:highlight w:val="none"/>
        </w:rPr>
        <w:fldChar w:fldCharType="end"/>
      </w:r>
      <w:r>
        <w:rPr>
          <w:color w:val="auto"/>
          <w:sz w:val="28"/>
          <w:szCs w:val="28"/>
          <w:highlight w:val="none"/>
        </w:rPr>
        <w:fldChar w:fldCharType="end"/>
      </w:r>
    </w:p>
    <w:p w14:paraId="07407F8E">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_Toc12107 </w:instrText>
      </w:r>
      <w:r>
        <w:rPr>
          <w:color w:val="auto"/>
          <w:sz w:val="28"/>
          <w:szCs w:val="28"/>
          <w:highlight w:val="none"/>
        </w:rPr>
        <w:fldChar w:fldCharType="separate"/>
      </w:r>
      <w:r>
        <w:rPr>
          <w:rFonts w:hint="eastAsia" w:cs="Times New Roman"/>
          <w:bCs w:val="0"/>
          <w:color w:val="auto"/>
          <w:kern w:val="2"/>
          <w:sz w:val="28"/>
          <w:szCs w:val="28"/>
          <w:highlight w:val="none"/>
          <w:lang w:val="en-US" w:eastAsia="zh-CN" w:bidi="ar-SA"/>
        </w:rPr>
        <w:t>（三）</w:t>
      </w:r>
      <w:r>
        <w:rPr>
          <w:rFonts w:hint="eastAsia" w:ascii="Times New Roman" w:hAnsi="Times New Roman" w:eastAsia="楷体_GB2312" w:cs="Times New Roman"/>
          <w:bCs w:val="0"/>
          <w:color w:val="auto"/>
          <w:kern w:val="2"/>
          <w:sz w:val="28"/>
          <w:szCs w:val="28"/>
          <w:highlight w:val="none"/>
          <w:lang w:val="en-US" w:eastAsia="zh-CN" w:bidi="ar-SA"/>
        </w:rPr>
        <w:t>加快北戴河生命</w:t>
      </w:r>
      <w:r>
        <w:rPr>
          <w:rFonts w:hint="eastAsia" w:cs="Times New Roman"/>
          <w:bCs w:val="0"/>
          <w:color w:val="auto"/>
          <w:kern w:val="2"/>
          <w:sz w:val="28"/>
          <w:szCs w:val="28"/>
          <w:highlight w:val="none"/>
          <w:lang w:val="en-US" w:eastAsia="zh-CN" w:bidi="ar-SA"/>
        </w:rPr>
        <w:t>健康产业</w:t>
      </w:r>
      <w:r>
        <w:rPr>
          <w:rFonts w:hint="eastAsia" w:ascii="Times New Roman" w:hAnsi="Times New Roman" w:eastAsia="楷体_GB2312" w:cs="Times New Roman"/>
          <w:bCs w:val="0"/>
          <w:color w:val="auto"/>
          <w:kern w:val="2"/>
          <w:sz w:val="28"/>
          <w:szCs w:val="28"/>
          <w:highlight w:val="none"/>
          <w:lang w:val="en-US" w:eastAsia="zh-CN" w:bidi="ar-SA"/>
        </w:rPr>
        <w:t>创新示范区发展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_Toc12107 </w:instrText>
      </w:r>
      <w:r>
        <w:rPr>
          <w:color w:val="auto"/>
          <w:sz w:val="28"/>
          <w:szCs w:val="28"/>
          <w:highlight w:val="none"/>
        </w:rPr>
        <w:fldChar w:fldCharType="separate"/>
      </w:r>
      <w:r>
        <w:rPr>
          <w:color w:val="auto"/>
          <w:sz w:val="28"/>
          <w:szCs w:val="28"/>
          <w:highlight w:val="none"/>
        </w:rPr>
        <w:t>65</w:t>
      </w:r>
      <w:r>
        <w:rPr>
          <w:color w:val="auto"/>
          <w:sz w:val="28"/>
          <w:szCs w:val="28"/>
          <w:highlight w:val="none"/>
        </w:rPr>
        <w:fldChar w:fldCharType="end"/>
      </w:r>
      <w:r>
        <w:rPr>
          <w:color w:val="auto"/>
          <w:sz w:val="28"/>
          <w:szCs w:val="28"/>
          <w:highlight w:val="none"/>
        </w:rPr>
        <w:fldChar w:fldCharType="end"/>
      </w:r>
    </w:p>
    <w:p w14:paraId="3F93213D">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_Toc17850 </w:instrText>
      </w:r>
      <w:r>
        <w:rPr>
          <w:color w:val="auto"/>
          <w:sz w:val="28"/>
          <w:szCs w:val="28"/>
          <w:highlight w:val="none"/>
        </w:rPr>
        <w:fldChar w:fldCharType="separate"/>
      </w:r>
      <w:r>
        <w:rPr>
          <w:rFonts w:hint="eastAsia" w:ascii="楷体" w:hAnsi="楷体" w:eastAsia="楷体" w:cs="楷体"/>
          <w:color w:val="auto"/>
          <w:sz w:val="28"/>
          <w:szCs w:val="28"/>
          <w:highlight w:val="none"/>
          <w:lang w:eastAsia="zh-CN"/>
        </w:rPr>
        <w:t>（四）大力发展临港临海经济</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_Toc17850 </w:instrText>
      </w:r>
      <w:r>
        <w:rPr>
          <w:color w:val="auto"/>
          <w:sz w:val="28"/>
          <w:szCs w:val="28"/>
          <w:highlight w:val="none"/>
        </w:rPr>
        <w:fldChar w:fldCharType="separate"/>
      </w:r>
      <w:r>
        <w:rPr>
          <w:color w:val="auto"/>
          <w:sz w:val="28"/>
          <w:szCs w:val="28"/>
          <w:highlight w:val="none"/>
        </w:rPr>
        <w:t>66</w:t>
      </w:r>
      <w:r>
        <w:rPr>
          <w:color w:val="auto"/>
          <w:sz w:val="28"/>
          <w:szCs w:val="28"/>
          <w:highlight w:val="none"/>
        </w:rPr>
        <w:fldChar w:fldCharType="end"/>
      </w:r>
      <w:r>
        <w:rPr>
          <w:color w:val="auto"/>
          <w:sz w:val="28"/>
          <w:szCs w:val="28"/>
          <w:highlight w:val="none"/>
        </w:rPr>
        <w:fldChar w:fldCharType="end"/>
      </w:r>
    </w:p>
    <w:p w14:paraId="40DF00F9">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_Toc29095 </w:instrText>
      </w:r>
      <w:r>
        <w:rPr>
          <w:color w:val="auto"/>
          <w:sz w:val="28"/>
          <w:szCs w:val="28"/>
          <w:highlight w:val="none"/>
        </w:rPr>
        <w:fldChar w:fldCharType="separate"/>
      </w:r>
      <w:r>
        <w:rPr>
          <w:rFonts w:hint="eastAsia"/>
          <w:bCs w:val="0"/>
          <w:color w:val="auto"/>
          <w:sz w:val="28"/>
          <w:szCs w:val="28"/>
          <w:highlight w:val="none"/>
        </w:rPr>
        <w:t>（</w:t>
      </w:r>
      <w:r>
        <w:rPr>
          <w:rFonts w:hint="eastAsia"/>
          <w:bCs w:val="0"/>
          <w:color w:val="auto"/>
          <w:sz w:val="28"/>
          <w:szCs w:val="28"/>
          <w:highlight w:val="none"/>
          <w:lang w:eastAsia="zh-CN"/>
        </w:rPr>
        <w:t>五</w:t>
      </w:r>
      <w:r>
        <w:rPr>
          <w:rFonts w:hint="eastAsia"/>
          <w:bCs w:val="0"/>
          <w:color w:val="auto"/>
          <w:sz w:val="28"/>
          <w:szCs w:val="28"/>
          <w:highlight w:val="none"/>
        </w:rPr>
        <w:t>）进一步强化精准招商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_Toc29095 </w:instrText>
      </w:r>
      <w:r>
        <w:rPr>
          <w:color w:val="auto"/>
          <w:sz w:val="28"/>
          <w:szCs w:val="28"/>
          <w:highlight w:val="none"/>
        </w:rPr>
        <w:fldChar w:fldCharType="separate"/>
      </w:r>
      <w:r>
        <w:rPr>
          <w:color w:val="auto"/>
          <w:sz w:val="28"/>
          <w:szCs w:val="28"/>
          <w:highlight w:val="none"/>
        </w:rPr>
        <w:t>66</w:t>
      </w:r>
      <w:r>
        <w:rPr>
          <w:color w:val="auto"/>
          <w:sz w:val="28"/>
          <w:szCs w:val="28"/>
          <w:highlight w:val="none"/>
        </w:rPr>
        <w:fldChar w:fldCharType="end"/>
      </w:r>
      <w:r>
        <w:rPr>
          <w:color w:val="auto"/>
          <w:sz w:val="28"/>
          <w:szCs w:val="28"/>
          <w:highlight w:val="none"/>
        </w:rPr>
        <w:fldChar w:fldCharType="end"/>
      </w:r>
    </w:p>
    <w:p w14:paraId="4D49AD3A">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_Toc4070 </w:instrText>
      </w:r>
      <w:r>
        <w:rPr>
          <w:color w:val="auto"/>
          <w:sz w:val="28"/>
          <w:szCs w:val="28"/>
          <w:highlight w:val="none"/>
        </w:rPr>
        <w:fldChar w:fldCharType="separate"/>
      </w:r>
      <w:r>
        <w:rPr>
          <w:rFonts w:hint="eastAsia" w:eastAsia="黑体"/>
          <w:color w:val="auto"/>
          <w:sz w:val="28"/>
          <w:szCs w:val="28"/>
          <w:highlight w:val="none"/>
          <w:lang w:eastAsia="zh-CN"/>
        </w:rPr>
        <w:t>三</w:t>
      </w:r>
      <w:r>
        <w:rPr>
          <w:rFonts w:hint="eastAsia" w:eastAsia="黑体"/>
          <w:color w:val="auto"/>
          <w:sz w:val="28"/>
          <w:szCs w:val="28"/>
          <w:highlight w:val="none"/>
        </w:rPr>
        <w:t>、创建国内一流营商环境</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_Toc4070 </w:instrText>
      </w:r>
      <w:r>
        <w:rPr>
          <w:color w:val="auto"/>
          <w:sz w:val="28"/>
          <w:szCs w:val="28"/>
          <w:highlight w:val="none"/>
        </w:rPr>
        <w:fldChar w:fldCharType="separate"/>
      </w:r>
      <w:r>
        <w:rPr>
          <w:color w:val="auto"/>
          <w:sz w:val="28"/>
          <w:szCs w:val="28"/>
          <w:highlight w:val="none"/>
        </w:rPr>
        <w:t>67</w:t>
      </w:r>
      <w:r>
        <w:rPr>
          <w:color w:val="auto"/>
          <w:sz w:val="28"/>
          <w:szCs w:val="28"/>
          <w:highlight w:val="none"/>
        </w:rPr>
        <w:fldChar w:fldCharType="end"/>
      </w:r>
      <w:r>
        <w:rPr>
          <w:color w:val="auto"/>
          <w:sz w:val="28"/>
          <w:szCs w:val="28"/>
          <w:highlight w:val="none"/>
        </w:rPr>
        <w:fldChar w:fldCharType="end"/>
      </w:r>
    </w:p>
    <w:p w14:paraId="4CCA6CCE">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_Toc16387 </w:instrText>
      </w:r>
      <w:r>
        <w:rPr>
          <w:color w:val="auto"/>
          <w:sz w:val="28"/>
          <w:szCs w:val="28"/>
          <w:highlight w:val="none"/>
        </w:rPr>
        <w:fldChar w:fldCharType="separate"/>
      </w:r>
      <w:r>
        <w:rPr>
          <w:rFonts w:hint="eastAsia"/>
          <w:bCs w:val="0"/>
          <w:color w:val="auto"/>
          <w:sz w:val="28"/>
          <w:szCs w:val="28"/>
          <w:highlight w:val="none"/>
        </w:rPr>
        <w:t>（一）持续深化</w:t>
      </w:r>
      <w:r>
        <w:rPr>
          <w:rFonts w:hint="eastAsia"/>
          <w:bCs w:val="0"/>
          <w:color w:val="auto"/>
          <w:sz w:val="28"/>
          <w:szCs w:val="28"/>
          <w:highlight w:val="none"/>
          <w:lang w:eastAsia="zh-CN"/>
        </w:rPr>
        <w:t>“</w:t>
      </w:r>
      <w:r>
        <w:rPr>
          <w:rFonts w:hint="eastAsia"/>
          <w:bCs w:val="0"/>
          <w:color w:val="auto"/>
          <w:sz w:val="28"/>
          <w:szCs w:val="28"/>
          <w:highlight w:val="none"/>
        </w:rPr>
        <w:t>放管服</w:t>
      </w:r>
      <w:r>
        <w:rPr>
          <w:rFonts w:hint="eastAsia"/>
          <w:bCs w:val="0"/>
          <w:color w:val="auto"/>
          <w:sz w:val="28"/>
          <w:szCs w:val="28"/>
          <w:highlight w:val="none"/>
          <w:lang w:eastAsia="zh-CN"/>
        </w:rPr>
        <w:t>”</w:t>
      </w:r>
      <w:r>
        <w:rPr>
          <w:rFonts w:hint="eastAsia"/>
          <w:bCs w:val="0"/>
          <w:color w:val="auto"/>
          <w:sz w:val="28"/>
          <w:szCs w:val="28"/>
          <w:highlight w:val="none"/>
        </w:rPr>
        <w:t>改革</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_Toc16387 </w:instrText>
      </w:r>
      <w:r>
        <w:rPr>
          <w:color w:val="auto"/>
          <w:sz w:val="28"/>
          <w:szCs w:val="28"/>
          <w:highlight w:val="none"/>
        </w:rPr>
        <w:fldChar w:fldCharType="separate"/>
      </w:r>
      <w:r>
        <w:rPr>
          <w:color w:val="auto"/>
          <w:sz w:val="28"/>
          <w:szCs w:val="28"/>
          <w:highlight w:val="none"/>
        </w:rPr>
        <w:t>67</w:t>
      </w:r>
      <w:r>
        <w:rPr>
          <w:color w:val="auto"/>
          <w:sz w:val="28"/>
          <w:szCs w:val="28"/>
          <w:highlight w:val="none"/>
        </w:rPr>
        <w:fldChar w:fldCharType="end"/>
      </w:r>
      <w:r>
        <w:rPr>
          <w:color w:val="auto"/>
          <w:sz w:val="28"/>
          <w:szCs w:val="28"/>
          <w:highlight w:val="none"/>
        </w:rPr>
        <w:fldChar w:fldCharType="end"/>
      </w:r>
    </w:p>
    <w:p w14:paraId="24800DD5">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_Toc31824 </w:instrText>
      </w:r>
      <w:r>
        <w:rPr>
          <w:color w:val="auto"/>
          <w:sz w:val="28"/>
          <w:szCs w:val="28"/>
          <w:highlight w:val="none"/>
        </w:rPr>
        <w:fldChar w:fldCharType="separate"/>
      </w:r>
      <w:r>
        <w:rPr>
          <w:rFonts w:hint="eastAsia"/>
          <w:bCs w:val="0"/>
          <w:color w:val="auto"/>
          <w:sz w:val="28"/>
          <w:szCs w:val="28"/>
          <w:highlight w:val="none"/>
        </w:rPr>
        <w:t>（二）完善公平竞争的市场环境</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_Toc31824 </w:instrText>
      </w:r>
      <w:r>
        <w:rPr>
          <w:color w:val="auto"/>
          <w:sz w:val="28"/>
          <w:szCs w:val="28"/>
          <w:highlight w:val="none"/>
        </w:rPr>
        <w:fldChar w:fldCharType="separate"/>
      </w:r>
      <w:r>
        <w:rPr>
          <w:color w:val="auto"/>
          <w:sz w:val="28"/>
          <w:szCs w:val="28"/>
          <w:highlight w:val="none"/>
        </w:rPr>
        <w:t>68</w:t>
      </w:r>
      <w:r>
        <w:rPr>
          <w:color w:val="auto"/>
          <w:sz w:val="28"/>
          <w:szCs w:val="28"/>
          <w:highlight w:val="none"/>
        </w:rPr>
        <w:fldChar w:fldCharType="end"/>
      </w:r>
      <w:r>
        <w:rPr>
          <w:color w:val="auto"/>
          <w:sz w:val="28"/>
          <w:szCs w:val="28"/>
          <w:highlight w:val="none"/>
        </w:rPr>
        <w:fldChar w:fldCharType="end"/>
      </w:r>
    </w:p>
    <w:p w14:paraId="139186AF">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ind w:left="0" w:leftChars="0" w:firstLine="0" w:firstLineChars="0"/>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_Toc23022 </w:instrText>
      </w:r>
      <w:r>
        <w:rPr>
          <w:color w:val="auto"/>
          <w:sz w:val="28"/>
          <w:szCs w:val="28"/>
          <w:highlight w:val="none"/>
        </w:rPr>
        <w:fldChar w:fldCharType="separate"/>
      </w:r>
      <w:r>
        <w:rPr>
          <w:rFonts w:hint="eastAsia" w:ascii="宋体" w:hAnsi="宋体" w:eastAsia="宋体" w:cs="宋体"/>
          <w:b/>
          <w:bCs/>
          <w:color w:val="auto"/>
          <w:sz w:val="28"/>
          <w:szCs w:val="28"/>
          <w:highlight w:val="none"/>
        </w:rPr>
        <w:t>第七章 优先发展农业农村，全面推进乡村振兴</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_Toc23022 </w:instrText>
      </w:r>
      <w:r>
        <w:rPr>
          <w:color w:val="auto"/>
          <w:sz w:val="28"/>
          <w:szCs w:val="28"/>
          <w:highlight w:val="none"/>
        </w:rPr>
        <w:fldChar w:fldCharType="separate"/>
      </w:r>
      <w:r>
        <w:rPr>
          <w:color w:val="auto"/>
          <w:sz w:val="28"/>
          <w:szCs w:val="28"/>
          <w:highlight w:val="none"/>
        </w:rPr>
        <w:t>68</w:t>
      </w:r>
      <w:r>
        <w:rPr>
          <w:color w:val="auto"/>
          <w:sz w:val="28"/>
          <w:szCs w:val="28"/>
          <w:highlight w:val="none"/>
        </w:rPr>
        <w:fldChar w:fldCharType="end"/>
      </w:r>
      <w:r>
        <w:rPr>
          <w:color w:val="auto"/>
          <w:sz w:val="28"/>
          <w:szCs w:val="28"/>
          <w:highlight w:val="none"/>
        </w:rPr>
        <w:fldChar w:fldCharType="end"/>
      </w:r>
    </w:p>
    <w:p w14:paraId="4972C7D8">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_Toc24626 </w:instrText>
      </w:r>
      <w:r>
        <w:rPr>
          <w:color w:val="auto"/>
          <w:sz w:val="28"/>
          <w:szCs w:val="28"/>
          <w:highlight w:val="none"/>
        </w:rPr>
        <w:fldChar w:fldCharType="separate"/>
      </w:r>
      <w:r>
        <w:rPr>
          <w:rFonts w:hint="eastAsia" w:eastAsia="黑体"/>
          <w:color w:val="auto"/>
          <w:sz w:val="28"/>
          <w:szCs w:val="28"/>
          <w:highlight w:val="none"/>
        </w:rPr>
        <w:t>一、加快推进农业现代化</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_Toc24626 </w:instrText>
      </w:r>
      <w:r>
        <w:rPr>
          <w:color w:val="auto"/>
          <w:sz w:val="28"/>
          <w:szCs w:val="28"/>
          <w:highlight w:val="none"/>
        </w:rPr>
        <w:fldChar w:fldCharType="separate"/>
      </w:r>
      <w:r>
        <w:rPr>
          <w:color w:val="auto"/>
          <w:sz w:val="28"/>
          <w:szCs w:val="28"/>
          <w:highlight w:val="none"/>
        </w:rPr>
        <w:t>69</w:t>
      </w:r>
      <w:r>
        <w:rPr>
          <w:color w:val="auto"/>
          <w:sz w:val="28"/>
          <w:szCs w:val="28"/>
          <w:highlight w:val="none"/>
        </w:rPr>
        <w:fldChar w:fldCharType="end"/>
      </w:r>
      <w:r>
        <w:rPr>
          <w:color w:val="auto"/>
          <w:sz w:val="28"/>
          <w:szCs w:val="28"/>
          <w:highlight w:val="none"/>
        </w:rPr>
        <w:fldChar w:fldCharType="end"/>
      </w:r>
    </w:p>
    <w:p w14:paraId="61B3892B">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_Toc11261 </w:instrText>
      </w:r>
      <w:r>
        <w:rPr>
          <w:color w:val="auto"/>
          <w:sz w:val="28"/>
          <w:szCs w:val="28"/>
          <w:highlight w:val="none"/>
        </w:rPr>
        <w:fldChar w:fldCharType="separate"/>
      </w:r>
      <w:r>
        <w:rPr>
          <w:rFonts w:hint="eastAsia"/>
          <w:bCs w:val="0"/>
          <w:color w:val="auto"/>
          <w:sz w:val="28"/>
          <w:szCs w:val="28"/>
          <w:highlight w:val="none"/>
        </w:rPr>
        <w:t>（一）稳定粮食综合生产能力</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_Toc11261 </w:instrText>
      </w:r>
      <w:r>
        <w:rPr>
          <w:color w:val="auto"/>
          <w:sz w:val="28"/>
          <w:szCs w:val="28"/>
          <w:highlight w:val="none"/>
        </w:rPr>
        <w:fldChar w:fldCharType="separate"/>
      </w:r>
      <w:r>
        <w:rPr>
          <w:color w:val="auto"/>
          <w:sz w:val="28"/>
          <w:szCs w:val="28"/>
          <w:highlight w:val="none"/>
        </w:rPr>
        <w:t>69</w:t>
      </w:r>
      <w:r>
        <w:rPr>
          <w:color w:val="auto"/>
          <w:sz w:val="28"/>
          <w:szCs w:val="28"/>
          <w:highlight w:val="none"/>
        </w:rPr>
        <w:fldChar w:fldCharType="end"/>
      </w:r>
      <w:r>
        <w:rPr>
          <w:color w:val="auto"/>
          <w:sz w:val="28"/>
          <w:szCs w:val="28"/>
          <w:highlight w:val="none"/>
        </w:rPr>
        <w:fldChar w:fldCharType="end"/>
      </w:r>
    </w:p>
    <w:p w14:paraId="6815E317">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_Toc23555 </w:instrText>
      </w:r>
      <w:r>
        <w:rPr>
          <w:color w:val="auto"/>
          <w:sz w:val="28"/>
          <w:szCs w:val="28"/>
          <w:highlight w:val="none"/>
        </w:rPr>
        <w:fldChar w:fldCharType="separate"/>
      </w:r>
      <w:r>
        <w:rPr>
          <w:rFonts w:hint="eastAsia"/>
          <w:bCs w:val="0"/>
          <w:color w:val="auto"/>
          <w:sz w:val="28"/>
          <w:szCs w:val="28"/>
          <w:highlight w:val="none"/>
        </w:rPr>
        <w:t>（二）优化农业生产布局</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_Toc23555 </w:instrText>
      </w:r>
      <w:r>
        <w:rPr>
          <w:color w:val="auto"/>
          <w:sz w:val="28"/>
          <w:szCs w:val="28"/>
          <w:highlight w:val="none"/>
        </w:rPr>
        <w:fldChar w:fldCharType="separate"/>
      </w:r>
      <w:r>
        <w:rPr>
          <w:color w:val="auto"/>
          <w:sz w:val="28"/>
          <w:szCs w:val="28"/>
          <w:highlight w:val="none"/>
        </w:rPr>
        <w:t>70</w:t>
      </w:r>
      <w:r>
        <w:rPr>
          <w:color w:val="auto"/>
          <w:sz w:val="28"/>
          <w:szCs w:val="28"/>
          <w:highlight w:val="none"/>
        </w:rPr>
        <w:fldChar w:fldCharType="end"/>
      </w:r>
      <w:r>
        <w:rPr>
          <w:color w:val="auto"/>
          <w:sz w:val="28"/>
          <w:szCs w:val="28"/>
          <w:highlight w:val="none"/>
        </w:rPr>
        <w:fldChar w:fldCharType="end"/>
      </w:r>
    </w:p>
    <w:p w14:paraId="20ECBC58">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_Toc616 </w:instrText>
      </w:r>
      <w:r>
        <w:rPr>
          <w:color w:val="auto"/>
          <w:sz w:val="28"/>
          <w:szCs w:val="28"/>
          <w:highlight w:val="none"/>
        </w:rPr>
        <w:fldChar w:fldCharType="separate"/>
      </w:r>
      <w:r>
        <w:rPr>
          <w:rFonts w:hint="eastAsia"/>
          <w:bCs w:val="0"/>
          <w:color w:val="auto"/>
          <w:sz w:val="28"/>
          <w:szCs w:val="28"/>
          <w:highlight w:val="none"/>
        </w:rPr>
        <w:t>（三）加快农业结构调整</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_Toc616 </w:instrText>
      </w:r>
      <w:r>
        <w:rPr>
          <w:color w:val="auto"/>
          <w:sz w:val="28"/>
          <w:szCs w:val="28"/>
          <w:highlight w:val="none"/>
        </w:rPr>
        <w:fldChar w:fldCharType="separate"/>
      </w:r>
      <w:r>
        <w:rPr>
          <w:color w:val="auto"/>
          <w:sz w:val="28"/>
          <w:szCs w:val="28"/>
          <w:highlight w:val="none"/>
        </w:rPr>
        <w:t>71</w:t>
      </w:r>
      <w:r>
        <w:rPr>
          <w:color w:val="auto"/>
          <w:sz w:val="28"/>
          <w:szCs w:val="28"/>
          <w:highlight w:val="none"/>
        </w:rPr>
        <w:fldChar w:fldCharType="end"/>
      </w:r>
      <w:r>
        <w:rPr>
          <w:color w:val="auto"/>
          <w:sz w:val="28"/>
          <w:szCs w:val="28"/>
          <w:highlight w:val="none"/>
        </w:rPr>
        <w:fldChar w:fldCharType="end"/>
      </w:r>
    </w:p>
    <w:p w14:paraId="77E93366">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_Toc22582 </w:instrText>
      </w:r>
      <w:r>
        <w:rPr>
          <w:color w:val="auto"/>
          <w:sz w:val="28"/>
          <w:szCs w:val="28"/>
          <w:highlight w:val="none"/>
        </w:rPr>
        <w:fldChar w:fldCharType="separate"/>
      </w:r>
      <w:r>
        <w:rPr>
          <w:rFonts w:hint="eastAsia"/>
          <w:bCs w:val="0"/>
          <w:color w:val="auto"/>
          <w:sz w:val="28"/>
          <w:szCs w:val="28"/>
          <w:highlight w:val="none"/>
        </w:rPr>
        <w:t>（四）提升农业质量效益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_Toc22582 </w:instrText>
      </w:r>
      <w:r>
        <w:rPr>
          <w:color w:val="auto"/>
          <w:sz w:val="28"/>
          <w:szCs w:val="28"/>
          <w:highlight w:val="none"/>
        </w:rPr>
        <w:fldChar w:fldCharType="separate"/>
      </w:r>
      <w:r>
        <w:rPr>
          <w:color w:val="auto"/>
          <w:sz w:val="28"/>
          <w:szCs w:val="28"/>
          <w:highlight w:val="none"/>
        </w:rPr>
        <w:t>71</w:t>
      </w:r>
      <w:r>
        <w:rPr>
          <w:color w:val="auto"/>
          <w:sz w:val="28"/>
          <w:szCs w:val="28"/>
          <w:highlight w:val="none"/>
        </w:rPr>
        <w:fldChar w:fldCharType="end"/>
      </w:r>
      <w:r>
        <w:rPr>
          <w:color w:val="auto"/>
          <w:sz w:val="28"/>
          <w:szCs w:val="28"/>
          <w:highlight w:val="none"/>
        </w:rPr>
        <w:fldChar w:fldCharType="end"/>
      </w:r>
    </w:p>
    <w:p w14:paraId="5F2FA739">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_Toc22278 </w:instrText>
      </w:r>
      <w:r>
        <w:rPr>
          <w:color w:val="auto"/>
          <w:sz w:val="28"/>
          <w:szCs w:val="28"/>
          <w:highlight w:val="none"/>
        </w:rPr>
        <w:fldChar w:fldCharType="separate"/>
      </w:r>
      <w:r>
        <w:rPr>
          <w:rFonts w:hint="eastAsia" w:eastAsia="楷体"/>
          <w:bCs w:val="0"/>
          <w:color w:val="auto"/>
          <w:sz w:val="28"/>
          <w:szCs w:val="28"/>
          <w:highlight w:val="none"/>
        </w:rPr>
        <w:t>（五）</w:t>
      </w:r>
      <w:r>
        <w:rPr>
          <w:rFonts w:hint="eastAsia" w:eastAsia="楷体"/>
          <w:bCs w:val="0"/>
          <w:color w:val="auto"/>
          <w:kern w:val="0"/>
          <w:sz w:val="28"/>
          <w:szCs w:val="28"/>
          <w:highlight w:val="none"/>
        </w:rPr>
        <w:t>促进农业一二三产业融合发展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_Toc22278 </w:instrText>
      </w:r>
      <w:r>
        <w:rPr>
          <w:color w:val="auto"/>
          <w:sz w:val="28"/>
          <w:szCs w:val="28"/>
          <w:highlight w:val="none"/>
        </w:rPr>
        <w:fldChar w:fldCharType="separate"/>
      </w:r>
      <w:r>
        <w:rPr>
          <w:color w:val="auto"/>
          <w:sz w:val="28"/>
          <w:szCs w:val="28"/>
          <w:highlight w:val="none"/>
        </w:rPr>
        <w:t>72</w:t>
      </w:r>
      <w:r>
        <w:rPr>
          <w:color w:val="auto"/>
          <w:sz w:val="28"/>
          <w:szCs w:val="28"/>
          <w:highlight w:val="none"/>
        </w:rPr>
        <w:fldChar w:fldCharType="end"/>
      </w:r>
      <w:r>
        <w:rPr>
          <w:color w:val="auto"/>
          <w:sz w:val="28"/>
          <w:szCs w:val="28"/>
          <w:highlight w:val="none"/>
        </w:rPr>
        <w:fldChar w:fldCharType="end"/>
      </w:r>
    </w:p>
    <w:p w14:paraId="5ED1FC26">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_Toc2140 </w:instrText>
      </w:r>
      <w:r>
        <w:rPr>
          <w:color w:val="auto"/>
          <w:sz w:val="28"/>
          <w:szCs w:val="28"/>
          <w:highlight w:val="none"/>
        </w:rPr>
        <w:fldChar w:fldCharType="separate"/>
      </w:r>
      <w:r>
        <w:rPr>
          <w:rFonts w:hint="eastAsia" w:eastAsia="黑体"/>
          <w:color w:val="auto"/>
          <w:sz w:val="28"/>
          <w:szCs w:val="28"/>
          <w:highlight w:val="none"/>
        </w:rPr>
        <w:t>二、实施乡村建设行动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_Toc2140 </w:instrText>
      </w:r>
      <w:r>
        <w:rPr>
          <w:color w:val="auto"/>
          <w:sz w:val="28"/>
          <w:szCs w:val="28"/>
          <w:highlight w:val="none"/>
        </w:rPr>
        <w:fldChar w:fldCharType="separate"/>
      </w:r>
      <w:r>
        <w:rPr>
          <w:color w:val="auto"/>
          <w:sz w:val="28"/>
          <w:szCs w:val="28"/>
          <w:highlight w:val="none"/>
        </w:rPr>
        <w:t>73</w:t>
      </w:r>
      <w:r>
        <w:rPr>
          <w:color w:val="auto"/>
          <w:sz w:val="28"/>
          <w:szCs w:val="28"/>
          <w:highlight w:val="none"/>
        </w:rPr>
        <w:fldChar w:fldCharType="end"/>
      </w:r>
      <w:r>
        <w:rPr>
          <w:color w:val="auto"/>
          <w:sz w:val="28"/>
          <w:szCs w:val="28"/>
          <w:highlight w:val="none"/>
        </w:rPr>
        <w:fldChar w:fldCharType="end"/>
      </w:r>
    </w:p>
    <w:p w14:paraId="787CA098">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_Toc8123 </w:instrText>
      </w:r>
      <w:r>
        <w:rPr>
          <w:color w:val="auto"/>
          <w:sz w:val="28"/>
          <w:szCs w:val="28"/>
          <w:highlight w:val="none"/>
        </w:rPr>
        <w:fldChar w:fldCharType="separate"/>
      </w:r>
      <w:r>
        <w:rPr>
          <w:rFonts w:hint="eastAsia"/>
          <w:bCs w:val="0"/>
          <w:color w:val="auto"/>
          <w:sz w:val="28"/>
          <w:szCs w:val="28"/>
          <w:highlight w:val="none"/>
        </w:rPr>
        <w:t>（一）推进农村人居环境整治</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_Toc8123 </w:instrText>
      </w:r>
      <w:r>
        <w:rPr>
          <w:color w:val="auto"/>
          <w:sz w:val="28"/>
          <w:szCs w:val="28"/>
          <w:highlight w:val="none"/>
        </w:rPr>
        <w:fldChar w:fldCharType="separate"/>
      </w:r>
      <w:r>
        <w:rPr>
          <w:color w:val="auto"/>
          <w:sz w:val="28"/>
          <w:szCs w:val="28"/>
          <w:highlight w:val="none"/>
        </w:rPr>
        <w:t>73</w:t>
      </w:r>
      <w:r>
        <w:rPr>
          <w:color w:val="auto"/>
          <w:sz w:val="28"/>
          <w:szCs w:val="28"/>
          <w:highlight w:val="none"/>
        </w:rPr>
        <w:fldChar w:fldCharType="end"/>
      </w:r>
      <w:r>
        <w:rPr>
          <w:color w:val="auto"/>
          <w:sz w:val="28"/>
          <w:szCs w:val="28"/>
          <w:highlight w:val="none"/>
        </w:rPr>
        <w:fldChar w:fldCharType="end"/>
      </w:r>
    </w:p>
    <w:p w14:paraId="6A396563">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_Toc31086 </w:instrText>
      </w:r>
      <w:r>
        <w:rPr>
          <w:color w:val="auto"/>
          <w:sz w:val="28"/>
          <w:szCs w:val="28"/>
          <w:highlight w:val="none"/>
        </w:rPr>
        <w:fldChar w:fldCharType="separate"/>
      </w:r>
      <w:r>
        <w:rPr>
          <w:rFonts w:hint="eastAsia"/>
          <w:bCs w:val="0"/>
          <w:color w:val="auto"/>
          <w:sz w:val="28"/>
          <w:szCs w:val="28"/>
          <w:highlight w:val="none"/>
        </w:rPr>
        <w:t>（二）加强农村基础设施建设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_Toc31086 </w:instrText>
      </w:r>
      <w:r>
        <w:rPr>
          <w:color w:val="auto"/>
          <w:sz w:val="28"/>
          <w:szCs w:val="28"/>
          <w:highlight w:val="none"/>
        </w:rPr>
        <w:fldChar w:fldCharType="separate"/>
      </w:r>
      <w:r>
        <w:rPr>
          <w:color w:val="auto"/>
          <w:sz w:val="28"/>
          <w:szCs w:val="28"/>
          <w:highlight w:val="none"/>
        </w:rPr>
        <w:t>74</w:t>
      </w:r>
      <w:r>
        <w:rPr>
          <w:color w:val="auto"/>
          <w:sz w:val="28"/>
          <w:szCs w:val="28"/>
          <w:highlight w:val="none"/>
        </w:rPr>
        <w:fldChar w:fldCharType="end"/>
      </w:r>
      <w:r>
        <w:rPr>
          <w:color w:val="auto"/>
          <w:sz w:val="28"/>
          <w:szCs w:val="28"/>
          <w:highlight w:val="none"/>
        </w:rPr>
        <w:fldChar w:fldCharType="end"/>
      </w:r>
    </w:p>
    <w:p w14:paraId="7324DBE2">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_Toc26387 </w:instrText>
      </w:r>
      <w:r>
        <w:rPr>
          <w:color w:val="auto"/>
          <w:sz w:val="28"/>
          <w:szCs w:val="28"/>
          <w:highlight w:val="none"/>
        </w:rPr>
        <w:fldChar w:fldCharType="separate"/>
      </w:r>
      <w:r>
        <w:rPr>
          <w:rFonts w:hint="eastAsia"/>
          <w:bCs w:val="0"/>
          <w:color w:val="auto"/>
          <w:sz w:val="28"/>
          <w:szCs w:val="28"/>
          <w:highlight w:val="none"/>
        </w:rPr>
        <w:t>（三）建设新时代美丽乡村</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_Toc26387 </w:instrText>
      </w:r>
      <w:r>
        <w:rPr>
          <w:color w:val="auto"/>
          <w:sz w:val="28"/>
          <w:szCs w:val="28"/>
          <w:highlight w:val="none"/>
        </w:rPr>
        <w:fldChar w:fldCharType="separate"/>
      </w:r>
      <w:r>
        <w:rPr>
          <w:color w:val="auto"/>
          <w:sz w:val="28"/>
          <w:szCs w:val="28"/>
          <w:highlight w:val="none"/>
        </w:rPr>
        <w:t>75</w:t>
      </w:r>
      <w:r>
        <w:rPr>
          <w:color w:val="auto"/>
          <w:sz w:val="28"/>
          <w:szCs w:val="28"/>
          <w:highlight w:val="none"/>
        </w:rPr>
        <w:fldChar w:fldCharType="end"/>
      </w:r>
      <w:r>
        <w:rPr>
          <w:color w:val="auto"/>
          <w:sz w:val="28"/>
          <w:szCs w:val="28"/>
          <w:highlight w:val="none"/>
        </w:rPr>
        <w:fldChar w:fldCharType="end"/>
      </w:r>
    </w:p>
    <w:p w14:paraId="6D6B8DAD">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_Toc24412 </w:instrText>
      </w:r>
      <w:r>
        <w:rPr>
          <w:color w:val="auto"/>
          <w:sz w:val="28"/>
          <w:szCs w:val="28"/>
          <w:highlight w:val="none"/>
        </w:rPr>
        <w:fldChar w:fldCharType="separate"/>
      </w:r>
      <w:r>
        <w:rPr>
          <w:rFonts w:hint="eastAsia" w:eastAsia="黑体"/>
          <w:color w:val="auto"/>
          <w:sz w:val="28"/>
          <w:szCs w:val="28"/>
          <w:highlight w:val="none"/>
        </w:rPr>
        <w:t>三、增强农村发展新活力</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_Toc24412 </w:instrText>
      </w:r>
      <w:r>
        <w:rPr>
          <w:color w:val="auto"/>
          <w:sz w:val="28"/>
          <w:szCs w:val="28"/>
          <w:highlight w:val="none"/>
        </w:rPr>
        <w:fldChar w:fldCharType="separate"/>
      </w:r>
      <w:r>
        <w:rPr>
          <w:color w:val="auto"/>
          <w:sz w:val="28"/>
          <w:szCs w:val="28"/>
          <w:highlight w:val="none"/>
        </w:rPr>
        <w:t>75</w:t>
      </w:r>
      <w:r>
        <w:rPr>
          <w:color w:val="auto"/>
          <w:sz w:val="28"/>
          <w:szCs w:val="28"/>
          <w:highlight w:val="none"/>
        </w:rPr>
        <w:fldChar w:fldCharType="end"/>
      </w:r>
      <w:r>
        <w:rPr>
          <w:color w:val="auto"/>
          <w:sz w:val="28"/>
          <w:szCs w:val="28"/>
          <w:highlight w:val="none"/>
        </w:rPr>
        <w:fldChar w:fldCharType="end"/>
      </w:r>
    </w:p>
    <w:p w14:paraId="31D925E6">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_Toc24203 </w:instrText>
      </w:r>
      <w:r>
        <w:rPr>
          <w:color w:val="auto"/>
          <w:sz w:val="28"/>
          <w:szCs w:val="28"/>
          <w:highlight w:val="none"/>
        </w:rPr>
        <w:fldChar w:fldCharType="separate"/>
      </w:r>
      <w:r>
        <w:rPr>
          <w:rFonts w:hint="eastAsia"/>
          <w:bCs w:val="0"/>
          <w:color w:val="auto"/>
          <w:sz w:val="28"/>
          <w:szCs w:val="28"/>
          <w:highlight w:val="none"/>
        </w:rPr>
        <w:t>（一）深化农村重点领域改革</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_Toc24203 </w:instrText>
      </w:r>
      <w:r>
        <w:rPr>
          <w:color w:val="auto"/>
          <w:sz w:val="28"/>
          <w:szCs w:val="28"/>
          <w:highlight w:val="none"/>
        </w:rPr>
        <w:fldChar w:fldCharType="separate"/>
      </w:r>
      <w:r>
        <w:rPr>
          <w:color w:val="auto"/>
          <w:sz w:val="28"/>
          <w:szCs w:val="28"/>
          <w:highlight w:val="none"/>
        </w:rPr>
        <w:t>75</w:t>
      </w:r>
      <w:r>
        <w:rPr>
          <w:color w:val="auto"/>
          <w:sz w:val="28"/>
          <w:szCs w:val="28"/>
          <w:highlight w:val="none"/>
        </w:rPr>
        <w:fldChar w:fldCharType="end"/>
      </w:r>
      <w:r>
        <w:rPr>
          <w:color w:val="auto"/>
          <w:sz w:val="28"/>
          <w:szCs w:val="28"/>
          <w:highlight w:val="none"/>
        </w:rPr>
        <w:fldChar w:fldCharType="end"/>
      </w:r>
    </w:p>
    <w:p w14:paraId="07E38D51">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_Toc26062 </w:instrText>
      </w:r>
      <w:r>
        <w:rPr>
          <w:color w:val="auto"/>
          <w:sz w:val="28"/>
          <w:szCs w:val="28"/>
          <w:highlight w:val="none"/>
        </w:rPr>
        <w:fldChar w:fldCharType="separate"/>
      </w:r>
      <w:r>
        <w:rPr>
          <w:rFonts w:hint="eastAsia"/>
          <w:bCs w:val="0"/>
          <w:color w:val="auto"/>
          <w:sz w:val="28"/>
          <w:szCs w:val="28"/>
          <w:highlight w:val="none"/>
        </w:rPr>
        <w:t>（二）多渠道增加农民收入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_Toc26062 </w:instrText>
      </w:r>
      <w:r>
        <w:rPr>
          <w:color w:val="auto"/>
          <w:sz w:val="28"/>
          <w:szCs w:val="28"/>
          <w:highlight w:val="none"/>
        </w:rPr>
        <w:fldChar w:fldCharType="separate"/>
      </w:r>
      <w:r>
        <w:rPr>
          <w:color w:val="auto"/>
          <w:sz w:val="28"/>
          <w:szCs w:val="28"/>
          <w:highlight w:val="none"/>
        </w:rPr>
        <w:t>76</w:t>
      </w:r>
      <w:r>
        <w:rPr>
          <w:color w:val="auto"/>
          <w:sz w:val="28"/>
          <w:szCs w:val="28"/>
          <w:highlight w:val="none"/>
        </w:rPr>
        <w:fldChar w:fldCharType="end"/>
      </w:r>
      <w:r>
        <w:rPr>
          <w:color w:val="auto"/>
          <w:sz w:val="28"/>
          <w:szCs w:val="28"/>
          <w:highlight w:val="none"/>
        </w:rPr>
        <w:fldChar w:fldCharType="end"/>
      </w:r>
    </w:p>
    <w:p w14:paraId="7E505E8E">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_Toc19138 </w:instrText>
      </w:r>
      <w:r>
        <w:rPr>
          <w:color w:val="auto"/>
          <w:sz w:val="28"/>
          <w:szCs w:val="28"/>
          <w:highlight w:val="none"/>
        </w:rPr>
        <w:fldChar w:fldCharType="separate"/>
      </w:r>
      <w:r>
        <w:rPr>
          <w:rFonts w:hint="eastAsia"/>
          <w:bCs w:val="0"/>
          <w:color w:val="auto"/>
          <w:sz w:val="28"/>
          <w:szCs w:val="28"/>
          <w:highlight w:val="none"/>
        </w:rPr>
        <w:t>（三）推动乡村人才振兴</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_Toc19138 </w:instrText>
      </w:r>
      <w:r>
        <w:rPr>
          <w:color w:val="auto"/>
          <w:sz w:val="28"/>
          <w:szCs w:val="28"/>
          <w:highlight w:val="none"/>
        </w:rPr>
        <w:fldChar w:fldCharType="separate"/>
      </w:r>
      <w:r>
        <w:rPr>
          <w:color w:val="auto"/>
          <w:sz w:val="28"/>
          <w:szCs w:val="28"/>
          <w:highlight w:val="none"/>
        </w:rPr>
        <w:t>76</w:t>
      </w:r>
      <w:r>
        <w:rPr>
          <w:color w:val="auto"/>
          <w:sz w:val="28"/>
          <w:szCs w:val="28"/>
          <w:highlight w:val="none"/>
        </w:rPr>
        <w:fldChar w:fldCharType="end"/>
      </w:r>
      <w:r>
        <w:rPr>
          <w:color w:val="auto"/>
          <w:sz w:val="28"/>
          <w:szCs w:val="28"/>
          <w:highlight w:val="none"/>
        </w:rPr>
        <w:fldChar w:fldCharType="end"/>
      </w:r>
    </w:p>
    <w:p w14:paraId="19323A9D">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_Toc20507 </w:instrText>
      </w:r>
      <w:r>
        <w:rPr>
          <w:color w:val="auto"/>
          <w:sz w:val="28"/>
          <w:szCs w:val="28"/>
          <w:highlight w:val="none"/>
        </w:rPr>
        <w:fldChar w:fldCharType="separate"/>
      </w:r>
      <w:r>
        <w:rPr>
          <w:rFonts w:hint="eastAsia" w:eastAsia="黑体"/>
          <w:color w:val="auto"/>
          <w:sz w:val="28"/>
          <w:szCs w:val="28"/>
          <w:highlight w:val="none"/>
        </w:rPr>
        <w:t>四、巩固拓展脱贫攻坚成果</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_Toc20507 </w:instrText>
      </w:r>
      <w:r>
        <w:rPr>
          <w:color w:val="auto"/>
          <w:sz w:val="28"/>
          <w:szCs w:val="28"/>
          <w:highlight w:val="none"/>
        </w:rPr>
        <w:fldChar w:fldCharType="separate"/>
      </w:r>
      <w:r>
        <w:rPr>
          <w:color w:val="auto"/>
          <w:sz w:val="28"/>
          <w:szCs w:val="28"/>
          <w:highlight w:val="none"/>
        </w:rPr>
        <w:t>77</w:t>
      </w:r>
      <w:r>
        <w:rPr>
          <w:color w:val="auto"/>
          <w:sz w:val="28"/>
          <w:szCs w:val="28"/>
          <w:highlight w:val="none"/>
        </w:rPr>
        <w:fldChar w:fldCharType="end"/>
      </w:r>
      <w:r>
        <w:rPr>
          <w:color w:val="auto"/>
          <w:sz w:val="28"/>
          <w:szCs w:val="28"/>
          <w:highlight w:val="none"/>
        </w:rPr>
        <w:fldChar w:fldCharType="end"/>
      </w:r>
    </w:p>
    <w:p w14:paraId="730B999F">
      <w:pPr>
        <w:pStyle w:val="13"/>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_Toc30240 </w:instrText>
      </w:r>
      <w:r>
        <w:rPr>
          <w:color w:val="auto"/>
          <w:sz w:val="28"/>
          <w:szCs w:val="28"/>
          <w:highlight w:val="none"/>
        </w:rPr>
        <w:fldChar w:fldCharType="separate"/>
      </w:r>
      <w:r>
        <w:rPr>
          <w:rFonts w:hint="eastAsia" w:ascii="宋体" w:hAnsi="宋体" w:eastAsia="宋体" w:cs="宋体"/>
          <w:b/>
          <w:bCs/>
          <w:color w:val="auto"/>
          <w:spacing w:val="-11"/>
          <w:kern w:val="2"/>
          <w:sz w:val="28"/>
          <w:szCs w:val="28"/>
          <w:highlight w:val="none"/>
          <w:lang w:val="en-US" w:eastAsia="zh-CN" w:bidi="ar-SA"/>
        </w:rPr>
        <w:t>第八章 优化国土空间布局，推进一流国际旅游城市和新型城镇化建设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_Toc30240 </w:instrText>
      </w:r>
      <w:r>
        <w:rPr>
          <w:color w:val="auto"/>
          <w:sz w:val="28"/>
          <w:szCs w:val="28"/>
          <w:highlight w:val="none"/>
        </w:rPr>
        <w:fldChar w:fldCharType="separate"/>
      </w:r>
      <w:r>
        <w:rPr>
          <w:color w:val="auto"/>
          <w:sz w:val="28"/>
          <w:szCs w:val="28"/>
          <w:highlight w:val="none"/>
        </w:rPr>
        <w:t>78</w:t>
      </w:r>
      <w:r>
        <w:rPr>
          <w:color w:val="auto"/>
          <w:sz w:val="28"/>
          <w:szCs w:val="28"/>
          <w:highlight w:val="none"/>
        </w:rPr>
        <w:fldChar w:fldCharType="end"/>
      </w:r>
      <w:r>
        <w:rPr>
          <w:color w:val="auto"/>
          <w:sz w:val="28"/>
          <w:szCs w:val="28"/>
          <w:highlight w:val="none"/>
        </w:rPr>
        <w:fldChar w:fldCharType="end"/>
      </w:r>
    </w:p>
    <w:p w14:paraId="5505F843">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_Toc10702 </w:instrText>
      </w:r>
      <w:r>
        <w:rPr>
          <w:color w:val="auto"/>
          <w:sz w:val="28"/>
          <w:szCs w:val="28"/>
          <w:highlight w:val="none"/>
        </w:rPr>
        <w:fldChar w:fldCharType="separate"/>
      </w:r>
      <w:r>
        <w:rPr>
          <w:rFonts w:hint="eastAsia" w:eastAsia="黑体"/>
          <w:color w:val="auto"/>
          <w:sz w:val="28"/>
          <w:szCs w:val="28"/>
          <w:highlight w:val="none"/>
        </w:rPr>
        <w:t>一、优化国土空间布局</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_Toc10702 </w:instrText>
      </w:r>
      <w:r>
        <w:rPr>
          <w:color w:val="auto"/>
          <w:sz w:val="28"/>
          <w:szCs w:val="28"/>
          <w:highlight w:val="none"/>
        </w:rPr>
        <w:fldChar w:fldCharType="separate"/>
      </w:r>
      <w:r>
        <w:rPr>
          <w:color w:val="auto"/>
          <w:sz w:val="28"/>
          <w:szCs w:val="28"/>
          <w:highlight w:val="none"/>
        </w:rPr>
        <w:t>78</w:t>
      </w:r>
      <w:r>
        <w:rPr>
          <w:color w:val="auto"/>
          <w:sz w:val="28"/>
          <w:szCs w:val="28"/>
          <w:highlight w:val="none"/>
        </w:rPr>
        <w:fldChar w:fldCharType="end"/>
      </w:r>
      <w:r>
        <w:rPr>
          <w:color w:val="auto"/>
          <w:sz w:val="28"/>
          <w:szCs w:val="28"/>
          <w:highlight w:val="none"/>
        </w:rPr>
        <w:fldChar w:fldCharType="end"/>
      </w:r>
    </w:p>
    <w:p w14:paraId="7D4330FC">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_Toc1472 </w:instrText>
      </w:r>
      <w:r>
        <w:rPr>
          <w:color w:val="auto"/>
          <w:sz w:val="28"/>
          <w:szCs w:val="28"/>
          <w:highlight w:val="none"/>
        </w:rPr>
        <w:fldChar w:fldCharType="separate"/>
      </w:r>
      <w:r>
        <w:rPr>
          <w:rFonts w:hint="eastAsia"/>
          <w:bCs w:val="0"/>
          <w:color w:val="auto"/>
          <w:sz w:val="28"/>
          <w:szCs w:val="28"/>
          <w:highlight w:val="none"/>
        </w:rPr>
        <w:t>（一）优化国土空间开发保护格局</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_Toc1472 </w:instrText>
      </w:r>
      <w:r>
        <w:rPr>
          <w:color w:val="auto"/>
          <w:sz w:val="28"/>
          <w:szCs w:val="28"/>
          <w:highlight w:val="none"/>
        </w:rPr>
        <w:fldChar w:fldCharType="separate"/>
      </w:r>
      <w:r>
        <w:rPr>
          <w:color w:val="auto"/>
          <w:sz w:val="28"/>
          <w:szCs w:val="28"/>
          <w:highlight w:val="none"/>
        </w:rPr>
        <w:t>78</w:t>
      </w:r>
      <w:r>
        <w:rPr>
          <w:color w:val="auto"/>
          <w:sz w:val="28"/>
          <w:szCs w:val="28"/>
          <w:highlight w:val="none"/>
        </w:rPr>
        <w:fldChar w:fldCharType="end"/>
      </w:r>
      <w:r>
        <w:rPr>
          <w:color w:val="auto"/>
          <w:sz w:val="28"/>
          <w:szCs w:val="28"/>
          <w:highlight w:val="none"/>
        </w:rPr>
        <w:fldChar w:fldCharType="end"/>
      </w:r>
    </w:p>
    <w:p w14:paraId="15BE0E9E">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_Toc5226 </w:instrText>
      </w:r>
      <w:r>
        <w:rPr>
          <w:color w:val="auto"/>
          <w:sz w:val="28"/>
          <w:szCs w:val="28"/>
          <w:highlight w:val="none"/>
        </w:rPr>
        <w:fldChar w:fldCharType="separate"/>
      </w:r>
      <w:r>
        <w:rPr>
          <w:rFonts w:hint="eastAsia"/>
          <w:bCs/>
          <w:color w:val="auto"/>
          <w:sz w:val="28"/>
          <w:szCs w:val="28"/>
          <w:highlight w:val="none"/>
        </w:rPr>
        <w:t>（二）构建组团联动的城乡发展格局</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_Toc5226 </w:instrText>
      </w:r>
      <w:r>
        <w:rPr>
          <w:color w:val="auto"/>
          <w:sz w:val="28"/>
          <w:szCs w:val="28"/>
          <w:highlight w:val="none"/>
        </w:rPr>
        <w:fldChar w:fldCharType="separate"/>
      </w:r>
      <w:r>
        <w:rPr>
          <w:color w:val="auto"/>
          <w:sz w:val="28"/>
          <w:szCs w:val="28"/>
          <w:highlight w:val="none"/>
        </w:rPr>
        <w:t>79</w:t>
      </w:r>
      <w:r>
        <w:rPr>
          <w:color w:val="auto"/>
          <w:sz w:val="28"/>
          <w:szCs w:val="28"/>
          <w:highlight w:val="none"/>
        </w:rPr>
        <w:fldChar w:fldCharType="end"/>
      </w:r>
      <w:r>
        <w:rPr>
          <w:color w:val="auto"/>
          <w:sz w:val="28"/>
          <w:szCs w:val="28"/>
          <w:highlight w:val="none"/>
        </w:rPr>
        <w:fldChar w:fldCharType="end"/>
      </w:r>
    </w:p>
    <w:p w14:paraId="68768519">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_Toc10910 </w:instrText>
      </w:r>
      <w:r>
        <w:rPr>
          <w:color w:val="auto"/>
          <w:sz w:val="28"/>
          <w:szCs w:val="28"/>
          <w:highlight w:val="none"/>
        </w:rPr>
        <w:fldChar w:fldCharType="separate"/>
      </w:r>
      <w:r>
        <w:rPr>
          <w:rFonts w:hint="eastAsia" w:eastAsia="黑体"/>
          <w:color w:val="auto"/>
          <w:sz w:val="28"/>
          <w:szCs w:val="28"/>
          <w:highlight w:val="none"/>
        </w:rPr>
        <w:t>二、建设一流国际旅游城市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_Toc10910 </w:instrText>
      </w:r>
      <w:r>
        <w:rPr>
          <w:color w:val="auto"/>
          <w:sz w:val="28"/>
          <w:szCs w:val="28"/>
          <w:highlight w:val="none"/>
        </w:rPr>
        <w:fldChar w:fldCharType="separate"/>
      </w:r>
      <w:r>
        <w:rPr>
          <w:color w:val="auto"/>
          <w:sz w:val="28"/>
          <w:szCs w:val="28"/>
          <w:highlight w:val="none"/>
        </w:rPr>
        <w:t>80</w:t>
      </w:r>
      <w:r>
        <w:rPr>
          <w:color w:val="auto"/>
          <w:sz w:val="28"/>
          <w:szCs w:val="28"/>
          <w:highlight w:val="none"/>
        </w:rPr>
        <w:fldChar w:fldCharType="end"/>
      </w:r>
      <w:r>
        <w:rPr>
          <w:color w:val="auto"/>
          <w:sz w:val="28"/>
          <w:szCs w:val="28"/>
          <w:highlight w:val="none"/>
        </w:rPr>
        <w:fldChar w:fldCharType="end"/>
      </w:r>
    </w:p>
    <w:p w14:paraId="2C27F32C">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_Toc25686 </w:instrText>
      </w:r>
      <w:r>
        <w:rPr>
          <w:color w:val="auto"/>
          <w:sz w:val="28"/>
          <w:szCs w:val="28"/>
          <w:highlight w:val="none"/>
        </w:rPr>
        <w:fldChar w:fldCharType="separate"/>
      </w:r>
      <w:r>
        <w:rPr>
          <w:rFonts w:hint="eastAsia"/>
          <w:bCs w:val="0"/>
          <w:color w:val="auto"/>
          <w:sz w:val="28"/>
          <w:szCs w:val="28"/>
          <w:highlight w:val="none"/>
        </w:rPr>
        <w:t>（一）</w:t>
      </w:r>
      <w:r>
        <w:rPr>
          <w:rFonts w:hint="eastAsia" w:eastAsia="楷体"/>
          <w:bCs w:val="0"/>
          <w:color w:val="auto"/>
          <w:sz w:val="28"/>
          <w:szCs w:val="28"/>
          <w:highlight w:val="none"/>
        </w:rPr>
        <w:t>提升城市规划建设水平</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_Toc25686 </w:instrText>
      </w:r>
      <w:r>
        <w:rPr>
          <w:color w:val="auto"/>
          <w:sz w:val="28"/>
          <w:szCs w:val="28"/>
          <w:highlight w:val="none"/>
        </w:rPr>
        <w:fldChar w:fldCharType="separate"/>
      </w:r>
      <w:r>
        <w:rPr>
          <w:color w:val="auto"/>
          <w:sz w:val="28"/>
          <w:szCs w:val="28"/>
          <w:highlight w:val="none"/>
        </w:rPr>
        <w:t>80</w:t>
      </w:r>
      <w:r>
        <w:rPr>
          <w:color w:val="auto"/>
          <w:sz w:val="28"/>
          <w:szCs w:val="28"/>
          <w:highlight w:val="none"/>
        </w:rPr>
        <w:fldChar w:fldCharType="end"/>
      </w:r>
      <w:r>
        <w:rPr>
          <w:color w:val="auto"/>
          <w:sz w:val="28"/>
          <w:szCs w:val="28"/>
          <w:highlight w:val="none"/>
        </w:rPr>
        <w:fldChar w:fldCharType="end"/>
      </w:r>
    </w:p>
    <w:p w14:paraId="70E9EB11">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_Toc14690 </w:instrText>
      </w:r>
      <w:r>
        <w:rPr>
          <w:color w:val="auto"/>
          <w:sz w:val="28"/>
          <w:szCs w:val="28"/>
          <w:highlight w:val="none"/>
        </w:rPr>
        <w:fldChar w:fldCharType="separate"/>
      </w:r>
      <w:r>
        <w:rPr>
          <w:rFonts w:hint="eastAsia"/>
          <w:bCs w:val="0"/>
          <w:color w:val="auto"/>
          <w:sz w:val="28"/>
          <w:szCs w:val="28"/>
          <w:highlight w:val="none"/>
        </w:rPr>
        <w:t>（二）增强城市综合承载能力</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_Toc14690 </w:instrText>
      </w:r>
      <w:r>
        <w:rPr>
          <w:color w:val="auto"/>
          <w:sz w:val="28"/>
          <w:szCs w:val="28"/>
          <w:highlight w:val="none"/>
        </w:rPr>
        <w:fldChar w:fldCharType="separate"/>
      </w:r>
      <w:r>
        <w:rPr>
          <w:color w:val="auto"/>
          <w:sz w:val="28"/>
          <w:szCs w:val="28"/>
          <w:highlight w:val="none"/>
        </w:rPr>
        <w:t>81</w:t>
      </w:r>
      <w:r>
        <w:rPr>
          <w:color w:val="auto"/>
          <w:sz w:val="28"/>
          <w:szCs w:val="28"/>
          <w:highlight w:val="none"/>
        </w:rPr>
        <w:fldChar w:fldCharType="end"/>
      </w:r>
      <w:r>
        <w:rPr>
          <w:color w:val="auto"/>
          <w:sz w:val="28"/>
          <w:szCs w:val="28"/>
          <w:highlight w:val="none"/>
        </w:rPr>
        <w:fldChar w:fldCharType="end"/>
      </w:r>
    </w:p>
    <w:p w14:paraId="36883695">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_Toc3602 </w:instrText>
      </w:r>
      <w:r>
        <w:rPr>
          <w:color w:val="auto"/>
          <w:sz w:val="28"/>
          <w:szCs w:val="28"/>
          <w:highlight w:val="none"/>
        </w:rPr>
        <w:fldChar w:fldCharType="separate"/>
      </w:r>
      <w:r>
        <w:rPr>
          <w:rFonts w:hint="eastAsia"/>
          <w:bCs w:val="0"/>
          <w:color w:val="auto"/>
          <w:sz w:val="28"/>
          <w:szCs w:val="28"/>
          <w:highlight w:val="none"/>
          <w:lang w:eastAsia="zh-CN"/>
        </w:rPr>
        <w:t>（三）</w:t>
      </w:r>
      <w:r>
        <w:rPr>
          <w:rFonts w:hint="eastAsia"/>
          <w:bCs w:val="0"/>
          <w:color w:val="auto"/>
          <w:sz w:val="28"/>
          <w:szCs w:val="28"/>
          <w:highlight w:val="none"/>
        </w:rPr>
        <w:t>建设新型智慧城市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_Toc3602 </w:instrText>
      </w:r>
      <w:r>
        <w:rPr>
          <w:color w:val="auto"/>
          <w:sz w:val="28"/>
          <w:szCs w:val="28"/>
          <w:highlight w:val="none"/>
        </w:rPr>
        <w:fldChar w:fldCharType="separate"/>
      </w:r>
      <w:r>
        <w:rPr>
          <w:color w:val="auto"/>
          <w:sz w:val="28"/>
          <w:szCs w:val="28"/>
          <w:highlight w:val="none"/>
        </w:rPr>
        <w:t>82</w:t>
      </w:r>
      <w:r>
        <w:rPr>
          <w:color w:val="auto"/>
          <w:sz w:val="28"/>
          <w:szCs w:val="28"/>
          <w:highlight w:val="none"/>
        </w:rPr>
        <w:fldChar w:fldCharType="end"/>
      </w:r>
      <w:r>
        <w:rPr>
          <w:color w:val="auto"/>
          <w:sz w:val="28"/>
          <w:szCs w:val="28"/>
          <w:highlight w:val="none"/>
        </w:rPr>
        <w:fldChar w:fldCharType="end"/>
      </w:r>
    </w:p>
    <w:p w14:paraId="478E01A2">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_Toc17717 </w:instrText>
      </w:r>
      <w:r>
        <w:rPr>
          <w:color w:val="auto"/>
          <w:sz w:val="28"/>
          <w:szCs w:val="28"/>
          <w:highlight w:val="none"/>
        </w:rPr>
        <w:fldChar w:fldCharType="separate"/>
      </w:r>
      <w:r>
        <w:rPr>
          <w:rFonts w:hint="eastAsia" w:eastAsia="楷体_GB2312"/>
          <w:bCs w:val="0"/>
          <w:color w:val="auto"/>
          <w:kern w:val="2"/>
          <w:sz w:val="28"/>
          <w:szCs w:val="28"/>
          <w:highlight w:val="none"/>
        </w:rPr>
        <w:t>（四）提升数字政府管理水平</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_Toc17717 </w:instrText>
      </w:r>
      <w:r>
        <w:rPr>
          <w:color w:val="auto"/>
          <w:sz w:val="28"/>
          <w:szCs w:val="28"/>
          <w:highlight w:val="none"/>
        </w:rPr>
        <w:fldChar w:fldCharType="separate"/>
      </w:r>
      <w:r>
        <w:rPr>
          <w:color w:val="auto"/>
          <w:sz w:val="28"/>
          <w:szCs w:val="28"/>
          <w:highlight w:val="none"/>
        </w:rPr>
        <w:t>82</w:t>
      </w:r>
      <w:r>
        <w:rPr>
          <w:color w:val="auto"/>
          <w:sz w:val="28"/>
          <w:szCs w:val="28"/>
          <w:highlight w:val="none"/>
        </w:rPr>
        <w:fldChar w:fldCharType="end"/>
      </w:r>
      <w:r>
        <w:rPr>
          <w:color w:val="auto"/>
          <w:sz w:val="28"/>
          <w:szCs w:val="28"/>
          <w:highlight w:val="none"/>
        </w:rPr>
        <w:fldChar w:fldCharType="end"/>
      </w:r>
    </w:p>
    <w:p w14:paraId="7D0237A0">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_Toc11811 </w:instrText>
      </w:r>
      <w:r>
        <w:rPr>
          <w:color w:val="auto"/>
          <w:sz w:val="28"/>
          <w:szCs w:val="28"/>
          <w:highlight w:val="none"/>
        </w:rPr>
        <w:fldChar w:fldCharType="separate"/>
      </w:r>
      <w:r>
        <w:rPr>
          <w:rFonts w:hint="eastAsia" w:eastAsia="黑体"/>
          <w:color w:val="auto"/>
          <w:sz w:val="28"/>
          <w:szCs w:val="28"/>
          <w:highlight w:val="none"/>
        </w:rPr>
        <w:t>三、提升县域发展能级</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_Toc11811 </w:instrText>
      </w:r>
      <w:r>
        <w:rPr>
          <w:color w:val="auto"/>
          <w:sz w:val="28"/>
          <w:szCs w:val="28"/>
          <w:highlight w:val="none"/>
        </w:rPr>
        <w:fldChar w:fldCharType="separate"/>
      </w:r>
      <w:r>
        <w:rPr>
          <w:color w:val="auto"/>
          <w:sz w:val="28"/>
          <w:szCs w:val="28"/>
          <w:highlight w:val="none"/>
        </w:rPr>
        <w:t>83</w:t>
      </w:r>
      <w:r>
        <w:rPr>
          <w:color w:val="auto"/>
          <w:sz w:val="28"/>
          <w:szCs w:val="28"/>
          <w:highlight w:val="none"/>
        </w:rPr>
        <w:fldChar w:fldCharType="end"/>
      </w:r>
      <w:r>
        <w:rPr>
          <w:color w:val="auto"/>
          <w:sz w:val="28"/>
          <w:szCs w:val="28"/>
          <w:highlight w:val="none"/>
        </w:rPr>
        <w:fldChar w:fldCharType="end"/>
      </w:r>
    </w:p>
    <w:p w14:paraId="3532C4AA">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_Toc32386 </w:instrText>
      </w:r>
      <w:r>
        <w:rPr>
          <w:color w:val="auto"/>
          <w:sz w:val="28"/>
          <w:szCs w:val="28"/>
          <w:highlight w:val="none"/>
        </w:rPr>
        <w:fldChar w:fldCharType="separate"/>
      </w:r>
      <w:r>
        <w:rPr>
          <w:rFonts w:hint="eastAsia"/>
          <w:bCs w:val="0"/>
          <w:color w:val="auto"/>
          <w:sz w:val="28"/>
          <w:szCs w:val="28"/>
          <w:highlight w:val="none"/>
        </w:rPr>
        <w:t>（一）推进县城扩容提质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_Toc32386 </w:instrText>
      </w:r>
      <w:r>
        <w:rPr>
          <w:color w:val="auto"/>
          <w:sz w:val="28"/>
          <w:szCs w:val="28"/>
          <w:highlight w:val="none"/>
        </w:rPr>
        <w:fldChar w:fldCharType="separate"/>
      </w:r>
      <w:r>
        <w:rPr>
          <w:color w:val="auto"/>
          <w:sz w:val="28"/>
          <w:szCs w:val="28"/>
          <w:highlight w:val="none"/>
        </w:rPr>
        <w:t>83</w:t>
      </w:r>
      <w:r>
        <w:rPr>
          <w:color w:val="auto"/>
          <w:sz w:val="28"/>
          <w:szCs w:val="28"/>
          <w:highlight w:val="none"/>
        </w:rPr>
        <w:fldChar w:fldCharType="end"/>
      </w:r>
      <w:r>
        <w:rPr>
          <w:color w:val="auto"/>
          <w:sz w:val="28"/>
          <w:szCs w:val="28"/>
          <w:highlight w:val="none"/>
        </w:rPr>
        <w:fldChar w:fldCharType="end"/>
      </w:r>
    </w:p>
    <w:p w14:paraId="5172648D">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_Toc2397 </w:instrText>
      </w:r>
      <w:r>
        <w:rPr>
          <w:color w:val="auto"/>
          <w:sz w:val="28"/>
          <w:szCs w:val="28"/>
          <w:highlight w:val="none"/>
        </w:rPr>
        <w:fldChar w:fldCharType="separate"/>
      </w:r>
      <w:r>
        <w:rPr>
          <w:rFonts w:hint="eastAsia"/>
          <w:bCs w:val="0"/>
          <w:color w:val="auto"/>
          <w:sz w:val="28"/>
          <w:szCs w:val="28"/>
          <w:highlight w:val="none"/>
        </w:rPr>
        <w:t>（二）推动县域产业集群发展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_Toc2397 </w:instrText>
      </w:r>
      <w:r>
        <w:rPr>
          <w:color w:val="auto"/>
          <w:sz w:val="28"/>
          <w:szCs w:val="28"/>
          <w:highlight w:val="none"/>
        </w:rPr>
        <w:fldChar w:fldCharType="separate"/>
      </w:r>
      <w:r>
        <w:rPr>
          <w:color w:val="auto"/>
          <w:sz w:val="28"/>
          <w:szCs w:val="28"/>
          <w:highlight w:val="none"/>
        </w:rPr>
        <w:t>84</w:t>
      </w:r>
      <w:r>
        <w:rPr>
          <w:color w:val="auto"/>
          <w:sz w:val="28"/>
          <w:szCs w:val="28"/>
          <w:highlight w:val="none"/>
        </w:rPr>
        <w:fldChar w:fldCharType="end"/>
      </w:r>
      <w:r>
        <w:rPr>
          <w:color w:val="auto"/>
          <w:sz w:val="28"/>
          <w:szCs w:val="28"/>
          <w:highlight w:val="none"/>
        </w:rPr>
        <w:fldChar w:fldCharType="end"/>
      </w:r>
    </w:p>
    <w:p w14:paraId="04378D01">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_Toc4205 </w:instrText>
      </w:r>
      <w:r>
        <w:rPr>
          <w:color w:val="auto"/>
          <w:sz w:val="28"/>
          <w:szCs w:val="28"/>
          <w:highlight w:val="none"/>
        </w:rPr>
        <w:fldChar w:fldCharType="separate"/>
      </w:r>
      <w:r>
        <w:rPr>
          <w:rFonts w:hint="eastAsia"/>
          <w:bCs w:val="0"/>
          <w:color w:val="auto"/>
          <w:sz w:val="28"/>
          <w:szCs w:val="28"/>
          <w:highlight w:val="none"/>
        </w:rPr>
        <w:t>（三）加快发展小城镇和特色小镇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_Toc4205 </w:instrText>
      </w:r>
      <w:r>
        <w:rPr>
          <w:color w:val="auto"/>
          <w:sz w:val="28"/>
          <w:szCs w:val="28"/>
          <w:highlight w:val="none"/>
        </w:rPr>
        <w:fldChar w:fldCharType="separate"/>
      </w:r>
      <w:r>
        <w:rPr>
          <w:color w:val="auto"/>
          <w:sz w:val="28"/>
          <w:szCs w:val="28"/>
          <w:highlight w:val="none"/>
        </w:rPr>
        <w:t>85</w:t>
      </w:r>
      <w:r>
        <w:rPr>
          <w:color w:val="auto"/>
          <w:sz w:val="28"/>
          <w:szCs w:val="28"/>
          <w:highlight w:val="none"/>
        </w:rPr>
        <w:fldChar w:fldCharType="end"/>
      </w:r>
      <w:r>
        <w:rPr>
          <w:color w:val="auto"/>
          <w:sz w:val="28"/>
          <w:szCs w:val="28"/>
          <w:highlight w:val="none"/>
        </w:rPr>
        <w:fldChar w:fldCharType="end"/>
      </w:r>
    </w:p>
    <w:p w14:paraId="68F9CFC1">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_Toc4490 </w:instrText>
      </w:r>
      <w:r>
        <w:rPr>
          <w:color w:val="auto"/>
          <w:sz w:val="28"/>
          <w:szCs w:val="28"/>
          <w:highlight w:val="none"/>
        </w:rPr>
        <w:fldChar w:fldCharType="separate"/>
      </w:r>
      <w:r>
        <w:rPr>
          <w:rFonts w:hint="eastAsia" w:eastAsia="黑体"/>
          <w:color w:val="auto"/>
          <w:sz w:val="28"/>
          <w:szCs w:val="28"/>
          <w:highlight w:val="none"/>
        </w:rPr>
        <w:t>四、推动城乡融合发展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_Toc4490 </w:instrText>
      </w:r>
      <w:r>
        <w:rPr>
          <w:color w:val="auto"/>
          <w:sz w:val="28"/>
          <w:szCs w:val="28"/>
          <w:highlight w:val="none"/>
        </w:rPr>
        <w:fldChar w:fldCharType="separate"/>
      </w:r>
      <w:r>
        <w:rPr>
          <w:color w:val="auto"/>
          <w:sz w:val="28"/>
          <w:szCs w:val="28"/>
          <w:highlight w:val="none"/>
        </w:rPr>
        <w:t>85</w:t>
      </w:r>
      <w:r>
        <w:rPr>
          <w:color w:val="auto"/>
          <w:sz w:val="28"/>
          <w:szCs w:val="28"/>
          <w:highlight w:val="none"/>
        </w:rPr>
        <w:fldChar w:fldCharType="end"/>
      </w:r>
      <w:r>
        <w:rPr>
          <w:color w:val="auto"/>
          <w:sz w:val="28"/>
          <w:szCs w:val="28"/>
          <w:highlight w:val="none"/>
        </w:rPr>
        <w:fldChar w:fldCharType="end"/>
      </w:r>
    </w:p>
    <w:p w14:paraId="32963B94">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_Toc2264 </w:instrText>
      </w:r>
      <w:r>
        <w:rPr>
          <w:color w:val="auto"/>
          <w:sz w:val="28"/>
          <w:szCs w:val="28"/>
          <w:highlight w:val="none"/>
        </w:rPr>
        <w:fldChar w:fldCharType="separate"/>
      </w:r>
      <w:r>
        <w:rPr>
          <w:rFonts w:hint="eastAsia"/>
          <w:bCs w:val="0"/>
          <w:color w:val="auto"/>
          <w:sz w:val="28"/>
          <w:szCs w:val="28"/>
          <w:highlight w:val="none"/>
        </w:rPr>
        <w:t>（一）加快农业转移人口市民化</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_Toc2264 </w:instrText>
      </w:r>
      <w:r>
        <w:rPr>
          <w:color w:val="auto"/>
          <w:sz w:val="28"/>
          <w:szCs w:val="28"/>
          <w:highlight w:val="none"/>
        </w:rPr>
        <w:fldChar w:fldCharType="separate"/>
      </w:r>
      <w:r>
        <w:rPr>
          <w:color w:val="auto"/>
          <w:sz w:val="28"/>
          <w:szCs w:val="28"/>
          <w:highlight w:val="none"/>
        </w:rPr>
        <w:t>86</w:t>
      </w:r>
      <w:r>
        <w:rPr>
          <w:color w:val="auto"/>
          <w:sz w:val="28"/>
          <w:szCs w:val="28"/>
          <w:highlight w:val="none"/>
        </w:rPr>
        <w:fldChar w:fldCharType="end"/>
      </w:r>
      <w:r>
        <w:rPr>
          <w:color w:val="auto"/>
          <w:sz w:val="28"/>
          <w:szCs w:val="28"/>
          <w:highlight w:val="none"/>
        </w:rPr>
        <w:fldChar w:fldCharType="end"/>
      </w:r>
    </w:p>
    <w:p w14:paraId="5D194012">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_Toc434 </w:instrText>
      </w:r>
      <w:r>
        <w:rPr>
          <w:color w:val="auto"/>
          <w:sz w:val="28"/>
          <w:szCs w:val="28"/>
          <w:highlight w:val="none"/>
        </w:rPr>
        <w:fldChar w:fldCharType="separate"/>
      </w:r>
      <w:r>
        <w:rPr>
          <w:rFonts w:hint="eastAsia"/>
          <w:bCs w:val="0"/>
          <w:color w:val="auto"/>
          <w:sz w:val="28"/>
          <w:szCs w:val="28"/>
          <w:highlight w:val="none"/>
        </w:rPr>
        <w:t>（二）推进城乡基本公共服务均等化</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_Toc434 </w:instrText>
      </w:r>
      <w:r>
        <w:rPr>
          <w:color w:val="auto"/>
          <w:sz w:val="28"/>
          <w:szCs w:val="28"/>
          <w:highlight w:val="none"/>
        </w:rPr>
        <w:fldChar w:fldCharType="separate"/>
      </w:r>
      <w:r>
        <w:rPr>
          <w:color w:val="auto"/>
          <w:sz w:val="28"/>
          <w:szCs w:val="28"/>
          <w:highlight w:val="none"/>
        </w:rPr>
        <w:t>86</w:t>
      </w:r>
      <w:r>
        <w:rPr>
          <w:color w:val="auto"/>
          <w:sz w:val="28"/>
          <w:szCs w:val="28"/>
          <w:highlight w:val="none"/>
        </w:rPr>
        <w:fldChar w:fldCharType="end"/>
      </w:r>
      <w:r>
        <w:rPr>
          <w:color w:val="auto"/>
          <w:sz w:val="28"/>
          <w:szCs w:val="28"/>
          <w:highlight w:val="none"/>
        </w:rPr>
        <w:fldChar w:fldCharType="end"/>
      </w:r>
    </w:p>
    <w:p w14:paraId="53BD7815">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_Toc20167 </w:instrText>
      </w:r>
      <w:r>
        <w:rPr>
          <w:color w:val="auto"/>
          <w:sz w:val="28"/>
          <w:szCs w:val="28"/>
          <w:highlight w:val="none"/>
        </w:rPr>
        <w:fldChar w:fldCharType="separate"/>
      </w:r>
      <w:r>
        <w:rPr>
          <w:rFonts w:hint="eastAsia"/>
          <w:bCs w:val="0"/>
          <w:color w:val="auto"/>
          <w:sz w:val="28"/>
          <w:szCs w:val="28"/>
          <w:highlight w:val="none"/>
        </w:rPr>
        <w:t>（三）推进城乡基础设施建管一体化</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_Toc20167 </w:instrText>
      </w:r>
      <w:r>
        <w:rPr>
          <w:color w:val="auto"/>
          <w:sz w:val="28"/>
          <w:szCs w:val="28"/>
          <w:highlight w:val="none"/>
        </w:rPr>
        <w:fldChar w:fldCharType="separate"/>
      </w:r>
      <w:r>
        <w:rPr>
          <w:color w:val="auto"/>
          <w:sz w:val="28"/>
          <w:szCs w:val="28"/>
          <w:highlight w:val="none"/>
        </w:rPr>
        <w:t>87</w:t>
      </w:r>
      <w:r>
        <w:rPr>
          <w:color w:val="auto"/>
          <w:sz w:val="28"/>
          <w:szCs w:val="28"/>
          <w:highlight w:val="none"/>
        </w:rPr>
        <w:fldChar w:fldCharType="end"/>
      </w:r>
      <w:r>
        <w:rPr>
          <w:color w:val="auto"/>
          <w:sz w:val="28"/>
          <w:szCs w:val="28"/>
          <w:highlight w:val="none"/>
        </w:rPr>
        <w:fldChar w:fldCharType="end"/>
      </w:r>
    </w:p>
    <w:p w14:paraId="529BB0A5">
      <w:pPr>
        <w:pStyle w:val="13"/>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_Toc1230 </w:instrText>
      </w:r>
      <w:r>
        <w:rPr>
          <w:color w:val="auto"/>
          <w:sz w:val="28"/>
          <w:szCs w:val="28"/>
          <w:highlight w:val="none"/>
        </w:rPr>
        <w:fldChar w:fldCharType="separate"/>
      </w:r>
      <w:r>
        <w:rPr>
          <w:rFonts w:hint="eastAsia" w:eastAsia="宋体"/>
          <w:b/>
          <w:bCs/>
          <w:color w:val="auto"/>
          <w:sz w:val="28"/>
          <w:szCs w:val="28"/>
          <w:highlight w:val="none"/>
        </w:rPr>
        <w:t>第九章　加强生态环境建设和环境保护，推动绿色发展和谐共生</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_Toc1230 </w:instrText>
      </w:r>
      <w:r>
        <w:rPr>
          <w:color w:val="auto"/>
          <w:sz w:val="28"/>
          <w:szCs w:val="28"/>
          <w:highlight w:val="none"/>
        </w:rPr>
        <w:fldChar w:fldCharType="separate"/>
      </w:r>
      <w:r>
        <w:rPr>
          <w:color w:val="auto"/>
          <w:sz w:val="28"/>
          <w:szCs w:val="28"/>
          <w:highlight w:val="none"/>
        </w:rPr>
        <w:t>88</w:t>
      </w:r>
      <w:r>
        <w:rPr>
          <w:color w:val="auto"/>
          <w:sz w:val="28"/>
          <w:szCs w:val="28"/>
          <w:highlight w:val="none"/>
        </w:rPr>
        <w:fldChar w:fldCharType="end"/>
      </w:r>
      <w:r>
        <w:rPr>
          <w:color w:val="auto"/>
          <w:sz w:val="28"/>
          <w:szCs w:val="28"/>
          <w:highlight w:val="none"/>
        </w:rPr>
        <w:fldChar w:fldCharType="end"/>
      </w:r>
    </w:p>
    <w:p w14:paraId="598F7CF9">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_Toc32342 </w:instrText>
      </w:r>
      <w:r>
        <w:rPr>
          <w:color w:val="auto"/>
          <w:sz w:val="28"/>
          <w:szCs w:val="28"/>
          <w:highlight w:val="none"/>
        </w:rPr>
        <w:fldChar w:fldCharType="separate"/>
      </w:r>
      <w:r>
        <w:rPr>
          <w:rFonts w:hint="eastAsia" w:eastAsia="黑体"/>
          <w:color w:val="auto"/>
          <w:sz w:val="28"/>
          <w:szCs w:val="28"/>
          <w:highlight w:val="none"/>
        </w:rPr>
        <w:t>一、推动绿色低碳发展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_Toc32342 </w:instrText>
      </w:r>
      <w:r>
        <w:rPr>
          <w:color w:val="auto"/>
          <w:sz w:val="28"/>
          <w:szCs w:val="28"/>
          <w:highlight w:val="none"/>
        </w:rPr>
        <w:fldChar w:fldCharType="separate"/>
      </w:r>
      <w:r>
        <w:rPr>
          <w:color w:val="auto"/>
          <w:sz w:val="28"/>
          <w:szCs w:val="28"/>
          <w:highlight w:val="none"/>
        </w:rPr>
        <w:t>88</w:t>
      </w:r>
      <w:r>
        <w:rPr>
          <w:color w:val="auto"/>
          <w:sz w:val="28"/>
          <w:szCs w:val="28"/>
          <w:highlight w:val="none"/>
        </w:rPr>
        <w:fldChar w:fldCharType="end"/>
      </w:r>
      <w:r>
        <w:rPr>
          <w:color w:val="auto"/>
          <w:sz w:val="28"/>
          <w:szCs w:val="28"/>
          <w:highlight w:val="none"/>
        </w:rPr>
        <w:fldChar w:fldCharType="end"/>
      </w:r>
    </w:p>
    <w:p w14:paraId="7AA13F8A">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_Toc9364 </w:instrText>
      </w:r>
      <w:r>
        <w:rPr>
          <w:color w:val="auto"/>
          <w:sz w:val="28"/>
          <w:szCs w:val="28"/>
          <w:highlight w:val="none"/>
        </w:rPr>
        <w:fldChar w:fldCharType="separate"/>
      </w:r>
      <w:r>
        <w:rPr>
          <w:rFonts w:hint="eastAsia"/>
          <w:bCs w:val="0"/>
          <w:color w:val="auto"/>
          <w:sz w:val="28"/>
          <w:szCs w:val="28"/>
          <w:highlight w:val="none"/>
        </w:rPr>
        <w:t>（一）</w:t>
      </w:r>
      <w:r>
        <w:rPr>
          <w:rFonts w:hint="eastAsia"/>
          <w:bCs w:val="0"/>
          <w:color w:val="auto"/>
          <w:sz w:val="28"/>
          <w:szCs w:val="28"/>
          <w:highlight w:val="none"/>
          <w:lang w:eastAsia="zh-CN"/>
        </w:rPr>
        <w:t>鼓励</w:t>
      </w:r>
      <w:r>
        <w:rPr>
          <w:rFonts w:hint="eastAsia"/>
          <w:bCs w:val="0"/>
          <w:color w:val="auto"/>
          <w:sz w:val="28"/>
          <w:szCs w:val="28"/>
          <w:highlight w:val="none"/>
        </w:rPr>
        <w:t>发展绿色产业</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_Toc9364 </w:instrText>
      </w:r>
      <w:r>
        <w:rPr>
          <w:color w:val="auto"/>
          <w:sz w:val="28"/>
          <w:szCs w:val="28"/>
          <w:highlight w:val="none"/>
        </w:rPr>
        <w:fldChar w:fldCharType="separate"/>
      </w:r>
      <w:r>
        <w:rPr>
          <w:color w:val="auto"/>
          <w:sz w:val="28"/>
          <w:szCs w:val="28"/>
          <w:highlight w:val="none"/>
        </w:rPr>
        <w:t>89</w:t>
      </w:r>
      <w:r>
        <w:rPr>
          <w:color w:val="auto"/>
          <w:sz w:val="28"/>
          <w:szCs w:val="28"/>
          <w:highlight w:val="none"/>
        </w:rPr>
        <w:fldChar w:fldCharType="end"/>
      </w:r>
      <w:r>
        <w:rPr>
          <w:color w:val="auto"/>
          <w:sz w:val="28"/>
          <w:szCs w:val="28"/>
          <w:highlight w:val="none"/>
        </w:rPr>
        <w:fldChar w:fldCharType="end"/>
      </w:r>
    </w:p>
    <w:p w14:paraId="6F57D3B1">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_Toc2118 </w:instrText>
      </w:r>
      <w:r>
        <w:rPr>
          <w:color w:val="auto"/>
          <w:sz w:val="28"/>
          <w:szCs w:val="28"/>
          <w:highlight w:val="none"/>
        </w:rPr>
        <w:fldChar w:fldCharType="separate"/>
      </w:r>
      <w:r>
        <w:rPr>
          <w:rFonts w:hint="eastAsia"/>
          <w:bCs w:val="0"/>
          <w:color w:val="auto"/>
          <w:sz w:val="28"/>
          <w:szCs w:val="28"/>
          <w:highlight w:val="none"/>
        </w:rPr>
        <w:t>（二）推行绿色低碳生产</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_Toc2118 </w:instrText>
      </w:r>
      <w:r>
        <w:rPr>
          <w:color w:val="auto"/>
          <w:sz w:val="28"/>
          <w:szCs w:val="28"/>
          <w:highlight w:val="none"/>
        </w:rPr>
        <w:fldChar w:fldCharType="separate"/>
      </w:r>
      <w:r>
        <w:rPr>
          <w:color w:val="auto"/>
          <w:sz w:val="28"/>
          <w:szCs w:val="28"/>
          <w:highlight w:val="none"/>
        </w:rPr>
        <w:t>89</w:t>
      </w:r>
      <w:r>
        <w:rPr>
          <w:color w:val="auto"/>
          <w:sz w:val="28"/>
          <w:szCs w:val="28"/>
          <w:highlight w:val="none"/>
        </w:rPr>
        <w:fldChar w:fldCharType="end"/>
      </w:r>
      <w:r>
        <w:rPr>
          <w:color w:val="auto"/>
          <w:sz w:val="28"/>
          <w:szCs w:val="28"/>
          <w:highlight w:val="none"/>
        </w:rPr>
        <w:fldChar w:fldCharType="end"/>
      </w:r>
    </w:p>
    <w:p w14:paraId="0B0B2EC0">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_Toc27935 </w:instrText>
      </w:r>
      <w:r>
        <w:rPr>
          <w:color w:val="auto"/>
          <w:sz w:val="28"/>
          <w:szCs w:val="28"/>
          <w:highlight w:val="none"/>
        </w:rPr>
        <w:fldChar w:fldCharType="separate"/>
      </w:r>
      <w:r>
        <w:rPr>
          <w:rFonts w:hint="eastAsia" w:eastAsia="楷体"/>
          <w:bCs w:val="0"/>
          <w:color w:val="auto"/>
          <w:sz w:val="28"/>
          <w:szCs w:val="28"/>
          <w:highlight w:val="none"/>
        </w:rPr>
        <w:t>（三）强化资源高效利用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_Toc27935 </w:instrText>
      </w:r>
      <w:r>
        <w:rPr>
          <w:color w:val="auto"/>
          <w:sz w:val="28"/>
          <w:szCs w:val="28"/>
          <w:highlight w:val="none"/>
        </w:rPr>
        <w:fldChar w:fldCharType="separate"/>
      </w:r>
      <w:r>
        <w:rPr>
          <w:color w:val="auto"/>
          <w:sz w:val="28"/>
          <w:szCs w:val="28"/>
          <w:highlight w:val="none"/>
        </w:rPr>
        <w:t>90</w:t>
      </w:r>
      <w:r>
        <w:rPr>
          <w:color w:val="auto"/>
          <w:sz w:val="28"/>
          <w:szCs w:val="28"/>
          <w:highlight w:val="none"/>
        </w:rPr>
        <w:fldChar w:fldCharType="end"/>
      </w:r>
      <w:r>
        <w:rPr>
          <w:color w:val="auto"/>
          <w:sz w:val="28"/>
          <w:szCs w:val="28"/>
          <w:highlight w:val="none"/>
        </w:rPr>
        <w:fldChar w:fldCharType="end"/>
      </w:r>
    </w:p>
    <w:p w14:paraId="6D144F3C">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_Toc5432 </w:instrText>
      </w:r>
      <w:r>
        <w:rPr>
          <w:color w:val="auto"/>
          <w:sz w:val="28"/>
          <w:szCs w:val="28"/>
          <w:highlight w:val="none"/>
        </w:rPr>
        <w:fldChar w:fldCharType="separate"/>
      </w:r>
      <w:r>
        <w:rPr>
          <w:rFonts w:hint="eastAsia"/>
          <w:bCs w:val="0"/>
          <w:color w:val="auto"/>
          <w:sz w:val="28"/>
          <w:szCs w:val="28"/>
          <w:highlight w:val="none"/>
        </w:rPr>
        <w:t>（四）倡导绿色生活方式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_Toc5432 </w:instrText>
      </w:r>
      <w:r>
        <w:rPr>
          <w:color w:val="auto"/>
          <w:sz w:val="28"/>
          <w:szCs w:val="28"/>
          <w:highlight w:val="none"/>
        </w:rPr>
        <w:fldChar w:fldCharType="separate"/>
      </w:r>
      <w:r>
        <w:rPr>
          <w:color w:val="auto"/>
          <w:sz w:val="28"/>
          <w:szCs w:val="28"/>
          <w:highlight w:val="none"/>
        </w:rPr>
        <w:t>91</w:t>
      </w:r>
      <w:r>
        <w:rPr>
          <w:color w:val="auto"/>
          <w:sz w:val="28"/>
          <w:szCs w:val="28"/>
          <w:highlight w:val="none"/>
        </w:rPr>
        <w:fldChar w:fldCharType="end"/>
      </w:r>
      <w:r>
        <w:rPr>
          <w:color w:val="auto"/>
          <w:sz w:val="28"/>
          <w:szCs w:val="28"/>
          <w:highlight w:val="none"/>
        </w:rPr>
        <w:fldChar w:fldCharType="end"/>
      </w:r>
    </w:p>
    <w:p w14:paraId="0322EAA6">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_Toc17841 </w:instrText>
      </w:r>
      <w:r>
        <w:rPr>
          <w:color w:val="auto"/>
          <w:sz w:val="28"/>
          <w:szCs w:val="28"/>
          <w:highlight w:val="none"/>
        </w:rPr>
        <w:fldChar w:fldCharType="separate"/>
      </w:r>
      <w:r>
        <w:rPr>
          <w:rFonts w:hint="eastAsia" w:eastAsia="黑体"/>
          <w:color w:val="auto"/>
          <w:sz w:val="28"/>
          <w:szCs w:val="28"/>
          <w:highlight w:val="none"/>
        </w:rPr>
        <w:t>二、推进生态建设与修复保育</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_Toc17841 </w:instrText>
      </w:r>
      <w:r>
        <w:rPr>
          <w:color w:val="auto"/>
          <w:sz w:val="28"/>
          <w:szCs w:val="28"/>
          <w:highlight w:val="none"/>
        </w:rPr>
        <w:fldChar w:fldCharType="separate"/>
      </w:r>
      <w:r>
        <w:rPr>
          <w:color w:val="auto"/>
          <w:sz w:val="28"/>
          <w:szCs w:val="28"/>
          <w:highlight w:val="none"/>
        </w:rPr>
        <w:t>92</w:t>
      </w:r>
      <w:r>
        <w:rPr>
          <w:color w:val="auto"/>
          <w:sz w:val="28"/>
          <w:szCs w:val="28"/>
          <w:highlight w:val="none"/>
        </w:rPr>
        <w:fldChar w:fldCharType="end"/>
      </w:r>
      <w:r>
        <w:rPr>
          <w:color w:val="auto"/>
          <w:sz w:val="28"/>
          <w:szCs w:val="28"/>
          <w:highlight w:val="none"/>
        </w:rPr>
        <w:fldChar w:fldCharType="end"/>
      </w:r>
    </w:p>
    <w:p w14:paraId="09B21ED8">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_Toc29669 </w:instrText>
      </w:r>
      <w:r>
        <w:rPr>
          <w:color w:val="auto"/>
          <w:sz w:val="28"/>
          <w:szCs w:val="28"/>
          <w:highlight w:val="none"/>
        </w:rPr>
        <w:fldChar w:fldCharType="separate"/>
      </w:r>
      <w:r>
        <w:rPr>
          <w:rFonts w:hint="eastAsia"/>
          <w:bCs w:val="0"/>
          <w:color w:val="auto"/>
          <w:sz w:val="28"/>
          <w:szCs w:val="28"/>
          <w:highlight w:val="none"/>
        </w:rPr>
        <w:t>（一）构建安全健康生态格局</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_Toc29669 </w:instrText>
      </w:r>
      <w:r>
        <w:rPr>
          <w:color w:val="auto"/>
          <w:sz w:val="28"/>
          <w:szCs w:val="28"/>
          <w:highlight w:val="none"/>
        </w:rPr>
        <w:fldChar w:fldCharType="separate"/>
      </w:r>
      <w:r>
        <w:rPr>
          <w:color w:val="auto"/>
          <w:sz w:val="28"/>
          <w:szCs w:val="28"/>
          <w:highlight w:val="none"/>
        </w:rPr>
        <w:t>92</w:t>
      </w:r>
      <w:r>
        <w:rPr>
          <w:color w:val="auto"/>
          <w:sz w:val="28"/>
          <w:szCs w:val="28"/>
          <w:highlight w:val="none"/>
        </w:rPr>
        <w:fldChar w:fldCharType="end"/>
      </w:r>
      <w:r>
        <w:rPr>
          <w:color w:val="auto"/>
          <w:sz w:val="28"/>
          <w:szCs w:val="28"/>
          <w:highlight w:val="none"/>
        </w:rPr>
        <w:fldChar w:fldCharType="end"/>
      </w:r>
    </w:p>
    <w:p w14:paraId="4A32EDBF">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_Toc15516 </w:instrText>
      </w:r>
      <w:r>
        <w:rPr>
          <w:color w:val="auto"/>
          <w:sz w:val="28"/>
          <w:szCs w:val="28"/>
          <w:highlight w:val="none"/>
        </w:rPr>
        <w:fldChar w:fldCharType="separate"/>
      </w:r>
      <w:r>
        <w:rPr>
          <w:rFonts w:hint="eastAsia"/>
          <w:bCs w:val="0"/>
          <w:color w:val="auto"/>
          <w:sz w:val="28"/>
          <w:szCs w:val="28"/>
          <w:highlight w:val="none"/>
        </w:rPr>
        <w:t>（二）加强生态管控</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_Toc15516 </w:instrText>
      </w:r>
      <w:r>
        <w:rPr>
          <w:color w:val="auto"/>
          <w:sz w:val="28"/>
          <w:szCs w:val="28"/>
          <w:highlight w:val="none"/>
        </w:rPr>
        <w:fldChar w:fldCharType="separate"/>
      </w:r>
      <w:r>
        <w:rPr>
          <w:color w:val="auto"/>
          <w:sz w:val="28"/>
          <w:szCs w:val="28"/>
          <w:highlight w:val="none"/>
        </w:rPr>
        <w:t>92</w:t>
      </w:r>
      <w:r>
        <w:rPr>
          <w:color w:val="auto"/>
          <w:sz w:val="28"/>
          <w:szCs w:val="28"/>
          <w:highlight w:val="none"/>
        </w:rPr>
        <w:fldChar w:fldCharType="end"/>
      </w:r>
      <w:r>
        <w:rPr>
          <w:color w:val="auto"/>
          <w:sz w:val="28"/>
          <w:szCs w:val="28"/>
          <w:highlight w:val="none"/>
        </w:rPr>
        <w:fldChar w:fldCharType="end"/>
      </w:r>
    </w:p>
    <w:p w14:paraId="4FB0901E">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_Toc29164 </w:instrText>
      </w:r>
      <w:r>
        <w:rPr>
          <w:color w:val="auto"/>
          <w:sz w:val="28"/>
          <w:szCs w:val="28"/>
          <w:highlight w:val="none"/>
        </w:rPr>
        <w:fldChar w:fldCharType="separate"/>
      </w:r>
      <w:r>
        <w:rPr>
          <w:rFonts w:hint="eastAsia"/>
          <w:bCs w:val="0"/>
          <w:color w:val="auto"/>
          <w:sz w:val="28"/>
          <w:szCs w:val="28"/>
          <w:highlight w:val="none"/>
        </w:rPr>
        <w:t>（三）大力推进国土绿化</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_Toc29164 </w:instrText>
      </w:r>
      <w:r>
        <w:rPr>
          <w:color w:val="auto"/>
          <w:sz w:val="28"/>
          <w:szCs w:val="28"/>
          <w:highlight w:val="none"/>
        </w:rPr>
        <w:fldChar w:fldCharType="separate"/>
      </w:r>
      <w:r>
        <w:rPr>
          <w:color w:val="auto"/>
          <w:sz w:val="28"/>
          <w:szCs w:val="28"/>
          <w:highlight w:val="none"/>
        </w:rPr>
        <w:t>93</w:t>
      </w:r>
      <w:r>
        <w:rPr>
          <w:color w:val="auto"/>
          <w:sz w:val="28"/>
          <w:szCs w:val="28"/>
          <w:highlight w:val="none"/>
        </w:rPr>
        <w:fldChar w:fldCharType="end"/>
      </w:r>
      <w:r>
        <w:rPr>
          <w:color w:val="auto"/>
          <w:sz w:val="28"/>
          <w:szCs w:val="28"/>
          <w:highlight w:val="none"/>
        </w:rPr>
        <w:fldChar w:fldCharType="end"/>
      </w:r>
    </w:p>
    <w:p w14:paraId="6A0608C1">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_Toc18253 </w:instrText>
      </w:r>
      <w:r>
        <w:rPr>
          <w:color w:val="auto"/>
          <w:sz w:val="28"/>
          <w:szCs w:val="28"/>
          <w:highlight w:val="none"/>
        </w:rPr>
        <w:fldChar w:fldCharType="separate"/>
      </w:r>
      <w:r>
        <w:rPr>
          <w:rFonts w:hint="eastAsia"/>
          <w:bCs w:val="0"/>
          <w:color w:val="auto"/>
          <w:sz w:val="28"/>
          <w:szCs w:val="28"/>
          <w:highlight w:val="none"/>
        </w:rPr>
        <w:t>（四）推进矿山整治修复</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_Toc18253 </w:instrText>
      </w:r>
      <w:r>
        <w:rPr>
          <w:color w:val="auto"/>
          <w:sz w:val="28"/>
          <w:szCs w:val="28"/>
          <w:highlight w:val="none"/>
        </w:rPr>
        <w:fldChar w:fldCharType="separate"/>
      </w:r>
      <w:r>
        <w:rPr>
          <w:color w:val="auto"/>
          <w:sz w:val="28"/>
          <w:szCs w:val="28"/>
          <w:highlight w:val="none"/>
        </w:rPr>
        <w:t>93</w:t>
      </w:r>
      <w:r>
        <w:rPr>
          <w:color w:val="auto"/>
          <w:sz w:val="28"/>
          <w:szCs w:val="28"/>
          <w:highlight w:val="none"/>
        </w:rPr>
        <w:fldChar w:fldCharType="end"/>
      </w:r>
      <w:r>
        <w:rPr>
          <w:color w:val="auto"/>
          <w:sz w:val="28"/>
          <w:szCs w:val="28"/>
          <w:highlight w:val="none"/>
        </w:rPr>
        <w:fldChar w:fldCharType="end"/>
      </w:r>
    </w:p>
    <w:p w14:paraId="13B9ED83">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_Toc15400 </w:instrText>
      </w:r>
      <w:r>
        <w:rPr>
          <w:color w:val="auto"/>
          <w:sz w:val="28"/>
          <w:szCs w:val="28"/>
          <w:highlight w:val="none"/>
        </w:rPr>
        <w:fldChar w:fldCharType="separate"/>
      </w:r>
      <w:r>
        <w:rPr>
          <w:rFonts w:hint="eastAsia"/>
          <w:bCs w:val="0"/>
          <w:color w:val="auto"/>
          <w:sz w:val="28"/>
          <w:szCs w:val="28"/>
          <w:highlight w:val="none"/>
        </w:rPr>
        <w:t>（五）加强水和湿地修复</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_Toc15400 </w:instrText>
      </w:r>
      <w:r>
        <w:rPr>
          <w:color w:val="auto"/>
          <w:sz w:val="28"/>
          <w:szCs w:val="28"/>
          <w:highlight w:val="none"/>
        </w:rPr>
        <w:fldChar w:fldCharType="separate"/>
      </w:r>
      <w:r>
        <w:rPr>
          <w:color w:val="auto"/>
          <w:sz w:val="28"/>
          <w:szCs w:val="28"/>
          <w:highlight w:val="none"/>
        </w:rPr>
        <w:t>94</w:t>
      </w:r>
      <w:r>
        <w:rPr>
          <w:color w:val="auto"/>
          <w:sz w:val="28"/>
          <w:szCs w:val="28"/>
          <w:highlight w:val="none"/>
        </w:rPr>
        <w:fldChar w:fldCharType="end"/>
      </w:r>
      <w:r>
        <w:rPr>
          <w:color w:val="auto"/>
          <w:sz w:val="28"/>
          <w:szCs w:val="28"/>
          <w:highlight w:val="none"/>
        </w:rPr>
        <w:fldChar w:fldCharType="end"/>
      </w:r>
    </w:p>
    <w:p w14:paraId="098E2758">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_Toc16332 </w:instrText>
      </w:r>
      <w:r>
        <w:rPr>
          <w:color w:val="auto"/>
          <w:sz w:val="28"/>
          <w:szCs w:val="28"/>
          <w:highlight w:val="none"/>
        </w:rPr>
        <w:fldChar w:fldCharType="separate"/>
      </w:r>
      <w:r>
        <w:rPr>
          <w:rFonts w:hint="eastAsia" w:eastAsia="黑体"/>
          <w:color w:val="auto"/>
          <w:sz w:val="28"/>
          <w:szCs w:val="28"/>
          <w:highlight w:val="none"/>
        </w:rPr>
        <w:t>三、强化环境污染治理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_Toc16332 </w:instrText>
      </w:r>
      <w:r>
        <w:rPr>
          <w:color w:val="auto"/>
          <w:sz w:val="28"/>
          <w:szCs w:val="28"/>
          <w:highlight w:val="none"/>
        </w:rPr>
        <w:fldChar w:fldCharType="separate"/>
      </w:r>
      <w:r>
        <w:rPr>
          <w:color w:val="auto"/>
          <w:sz w:val="28"/>
          <w:szCs w:val="28"/>
          <w:highlight w:val="none"/>
        </w:rPr>
        <w:t>94</w:t>
      </w:r>
      <w:r>
        <w:rPr>
          <w:color w:val="auto"/>
          <w:sz w:val="28"/>
          <w:szCs w:val="28"/>
          <w:highlight w:val="none"/>
        </w:rPr>
        <w:fldChar w:fldCharType="end"/>
      </w:r>
      <w:r>
        <w:rPr>
          <w:color w:val="auto"/>
          <w:sz w:val="28"/>
          <w:szCs w:val="28"/>
          <w:highlight w:val="none"/>
        </w:rPr>
        <w:fldChar w:fldCharType="end"/>
      </w:r>
    </w:p>
    <w:p w14:paraId="6201D434">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_Toc2740 </w:instrText>
      </w:r>
      <w:r>
        <w:rPr>
          <w:color w:val="auto"/>
          <w:sz w:val="28"/>
          <w:szCs w:val="28"/>
          <w:highlight w:val="none"/>
        </w:rPr>
        <w:fldChar w:fldCharType="separate"/>
      </w:r>
      <w:r>
        <w:rPr>
          <w:rFonts w:hint="eastAsia"/>
          <w:bCs w:val="0"/>
          <w:color w:val="auto"/>
          <w:sz w:val="28"/>
          <w:szCs w:val="28"/>
          <w:highlight w:val="none"/>
        </w:rPr>
        <w:t>（一）持续推进大气污染治理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_Toc2740 </w:instrText>
      </w:r>
      <w:r>
        <w:rPr>
          <w:color w:val="auto"/>
          <w:sz w:val="28"/>
          <w:szCs w:val="28"/>
          <w:highlight w:val="none"/>
        </w:rPr>
        <w:fldChar w:fldCharType="separate"/>
      </w:r>
      <w:r>
        <w:rPr>
          <w:color w:val="auto"/>
          <w:sz w:val="28"/>
          <w:szCs w:val="28"/>
          <w:highlight w:val="none"/>
        </w:rPr>
        <w:t>95</w:t>
      </w:r>
      <w:r>
        <w:rPr>
          <w:color w:val="auto"/>
          <w:sz w:val="28"/>
          <w:szCs w:val="28"/>
          <w:highlight w:val="none"/>
        </w:rPr>
        <w:fldChar w:fldCharType="end"/>
      </w:r>
      <w:r>
        <w:rPr>
          <w:color w:val="auto"/>
          <w:sz w:val="28"/>
          <w:szCs w:val="28"/>
          <w:highlight w:val="none"/>
        </w:rPr>
        <w:fldChar w:fldCharType="end"/>
      </w:r>
    </w:p>
    <w:p w14:paraId="2ACAB233">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_Toc29491 </w:instrText>
      </w:r>
      <w:r>
        <w:rPr>
          <w:color w:val="auto"/>
          <w:sz w:val="28"/>
          <w:szCs w:val="28"/>
          <w:highlight w:val="none"/>
        </w:rPr>
        <w:fldChar w:fldCharType="separate"/>
      </w:r>
      <w:r>
        <w:rPr>
          <w:rFonts w:hint="eastAsia"/>
          <w:bCs w:val="0"/>
          <w:color w:val="auto"/>
          <w:sz w:val="28"/>
          <w:szCs w:val="28"/>
          <w:highlight w:val="none"/>
        </w:rPr>
        <w:t>（二）系统推进水环境综合治理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_Toc29491 </w:instrText>
      </w:r>
      <w:r>
        <w:rPr>
          <w:color w:val="auto"/>
          <w:sz w:val="28"/>
          <w:szCs w:val="28"/>
          <w:highlight w:val="none"/>
        </w:rPr>
        <w:fldChar w:fldCharType="separate"/>
      </w:r>
      <w:r>
        <w:rPr>
          <w:color w:val="auto"/>
          <w:sz w:val="28"/>
          <w:szCs w:val="28"/>
          <w:highlight w:val="none"/>
        </w:rPr>
        <w:t>95</w:t>
      </w:r>
      <w:r>
        <w:rPr>
          <w:color w:val="auto"/>
          <w:sz w:val="28"/>
          <w:szCs w:val="28"/>
          <w:highlight w:val="none"/>
        </w:rPr>
        <w:fldChar w:fldCharType="end"/>
      </w:r>
      <w:r>
        <w:rPr>
          <w:color w:val="auto"/>
          <w:sz w:val="28"/>
          <w:szCs w:val="28"/>
          <w:highlight w:val="none"/>
        </w:rPr>
        <w:fldChar w:fldCharType="end"/>
      </w:r>
    </w:p>
    <w:p w14:paraId="7092D355">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_Toc15872 </w:instrText>
      </w:r>
      <w:r>
        <w:rPr>
          <w:color w:val="auto"/>
          <w:sz w:val="28"/>
          <w:szCs w:val="28"/>
          <w:highlight w:val="none"/>
        </w:rPr>
        <w:fldChar w:fldCharType="separate"/>
      </w:r>
      <w:r>
        <w:rPr>
          <w:rFonts w:hint="eastAsia"/>
          <w:bCs w:val="0"/>
          <w:color w:val="auto"/>
          <w:sz w:val="28"/>
          <w:szCs w:val="28"/>
          <w:highlight w:val="none"/>
        </w:rPr>
        <w:t>（三）扎实开展土壤污染防治</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_Toc15872 </w:instrText>
      </w:r>
      <w:r>
        <w:rPr>
          <w:color w:val="auto"/>
          <w:sz w:val="28"/>
          <w:szCs w:val="28"/>
          <w:highlight w:val="none"/>
        </w:rPr>
        <w:fldChar w:fldCharType="separate"/>
      </w:r>
      <w:r>
        <w:rPr>
          <w:color w:val="auto"/>
          <w:sz w:val="28"/>
          <w:szCs w:val="28"/>
          <w:highlight w:val="none"/>
        </w:rPr>
        <w:t>97</w:t>
      </w:r>
      <w:r>
        <w:rPr>
          <w:color w:val="auto"/>
          <w:sz w:val="28"/>
          <w:szCs w:val="28"/>
          <w:highlight w:val="none"/>
        </w:rPr>
        <w:fldChar w:fldCharType="end"/>
      </w:r>
      <w:r>
        <w:rPr>
          <w:color w:val="auto"/>
          <w:sz w:val="28"/>
          <w:szCs w:val="28"/>
          <w:highlight w:val="none"/>
        </w:rPr>
        <w:fldChar w:fldCharType="end"/>
      </w:r>
    </w:p>
    <w:p w14:paraId="4C1AAE4E">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_Toc28906 </w:instrText>
      </w:r>
      <w:r>
        <w:rPr>
          <w:color w:val="auto"/>
          <w:sz w:val="28"/>
          <w:szCs w:val="28"/>
          <w:highlight w:val="none"/>
        </w:rPr>
        <w:fldChar w:fldCharType="separate"/>
      </w:r>
      <w:r>
        <w:rPr>
          <w:rFonts w:hint="eastAsia" w:eastAsia="黑体"/>
          <w:color w:val="auto"/>
          <w:sz w:val="28"/>
          <w:szCs w:val="28"/>
          <w:highlight w:val="none"/>
        </w:rPr>
        <w:t>四、完善生态文明制度体系</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_Toc28906 </w:instrText>
      </w:r>
      <w:r>
        <w:rPr>
          <w:color w:val="auto"/>
          <w:sz w:val="28"/>
          <w:szCs w:val="28"/>
          <w:highlight w:val="none"/>
        </w:rPr>
        <w:fldChar w:fldCharType="separate"/>
      </w:r>
      <w:r>
        <w:rPr>
          <w:color w:val="auto"/>
          <w:sz w:val="28"/>
          <w:szCs w:val="28"/>
          <w:highlight w:val="none"/>
        </w:rPr>
        <w:t>97</w:t>
      </w:r>
      <w:r>
        <w:rPr>
          <w:color w:val="auto"/>
          <w:sz w:val="28"/>
          <w:szCs w:val="28"/>
          <w:highlight w:val="none"/>
        </w:rPr>
        <w:fldChar w:fldCharType="end"/>
      </w:r>
      <w:r>
        <w:rPr>
          <w:color w:val="auto"/>
          <w:sz w:val="28"/>
          <w:szCs w:val="28"/>
          <w:highlight w:val="none"/>
        </w:rPr>
        <w:fldChar w:fldCharType="end"/>
      </w:r>
    </w:p>
    <w:p w14:paraId="1867EA97">
      <w:pPr>
        <w:pStyle w:val="13"/>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_Toc32169 </w:instrText>
      </w:r>
      <w:r>
        <w:rPr>
          <w:color w:val="auto"/>
          <w:sz w:val="28"/>
          <w:szCs w:val="28"/>
          <w:highlight w:val="none"/>
        </w:rPr>
        <w:fldChar w:fldCharType="separate"/>
      </w:r>
      <w:r>
        <w:rPr>
          <w:rFonts w:hint="eastAsia" w:eastAsia="宋体"/>
          <w:b/>
          <w:bCs/>
          <w:color w:val="auto"/>
          <w:sz w:val="28"/>
          <w:szCs w:val="28"/>
          <w:highlight w:val="none"/>
        </w:rPr>
        <w:t>第十章　持续推进文明城市建设，繁荣发展文化事业文化产业</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_Toc32169 </w:instrText>
      </w:r>
      <w:r>
        <w:rPr>
          <w:color w:val="auto"/>
          <w:sz w:val="28"/>
          <w:szCs w:val="28"/>
          <w:highlight w:val="none"/>
        </w:rPr>
        <w:fldChar w:fldCharType="separate"/>
      </w:r>
      <w:r>
        <w:rPr>
          <w:color w:val="auto"/>
          <w:sz w:val="28"/>
          <w:szCs w:val="28"/>
          <w:highlight w:val="none"/>
        </w:rPr>
        <w:t>98</w:t>
      </w:r>
      <w:r>
        <w:rPr>
          <w:color w:val="auto"/>
          <w:sz w:val="28"/>
          <w:szCs w:val="28"/>
          <w:highlight w:val="none"/>
        </w:rPr>
        <w:fldChar w:fldCharType="end"/>
      </w:r>
      <w:r>
        <w:rPr>
          <w:color w:val="auto"/>
          <w:sz w:val="28"/>
          <w:szCs w:val="28"/>
          <w:highlight w:val="none"/>
        </w:rPr>
        <w:fldChar w:fldCharType="end"/>
      </w:r>
    </w:p>
    <w:p w14:paraId="788DFA50">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_Toc2215 </w:instrText>
      </w:r>
      <w:r>
        <w:rPr>
          <w:color w:val="auto"/>
          <w:sz w:val="28"/>
          <w:szCs w:val="28"/>
          <w:highlight w:val="none"/>
        </w:rPr>
        <w:fldChar w:fldCharType="separate"/>
      </w:r>
      <w:r>
        <w:rPr>
          <w:rFonts w:hint="eastAsia" w:eastAsia="黑体"/>
          <w:color w:val="auto"/>
          <w:sz w:val="28"/>
          <w:szCs w:val="28"/>
          <w:highlight w:val="none"/>
        </w:rPr>
        <w:t>一、提高社会文明程度</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_Toc2215 </w:instrText>
      </w:r>
      <w:r>
        <w:rPr>
          <w:color w:val="auto"/>
          <w:sz w:val="28"/>
          <w:szCs w:val="28"/>
          <w:highlight w:val="none"/>
        </w:rPr>
        <w:fldChar w:fldCharType="separate"/>
      </w:r>
      <w:r>
        <w:rPr>
          <w:color w:val="auto"/>
          <w:sz w:val="28"/>
          <w:szCs w:val="28"/>
          <w:highlight w:val="none"/>
        </w:rPr>
        <w:t>99</w:t>
      </w:r>
      <w:r>
        <w:rPr>
          <w:color w:val="auto"/>
          <w:sz w:val="28"/>
          <w:szCs w:val="28"/>
          <w:highlight w:val="none"/>
        </w:rPr>
        <w:fldChar w:fldCharType="end"/>
      </w:r>
      <w:r>
        <w:rPr>
          <w:color w:val="auto"/>
          <w:sz w:val="28"/>
          <w:szCs w:val="28"/>
          <w:highlight w:val="none"/>
        </w:rPr>
        <w:fldChar w:fldCharType="end"/>
      </w:r>
    </w:p>
    <w:p w14:paraId="451F67FB">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_Toc12015 </w:instrText>
      </w:r>
      <w:r>
        <w:rPr>
          <w:color w:val="auto"/>
          <w:sz w:val="28"/>
          <w:szCs w:val="28"/>
          <w:highlight w:val="none"/>
        </w:rPr>
        <w:fldChar w:fldCharType="separate"/>
      </w:r>
      <w:r>
        <w:rPr>
          <w:rFonts w:hint="eastAsia"/>
          <w:bCs w:val="0"/>
          <w:color w:val="auto"/>
          <w:sz w:val="28"/>
          <w:szCs w:val="28"/>
          <w:highlight w:val="none"/>
        </w:rPr>
        <w:t>（一）加强意识形态工作</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_Toc12015 </w:instrText>
      </w:r>
      <w:r>
        <w:rPr>
          <w:color w:val="auto"/>
          <w:sz w:val="28"/>
          <w:szCs w:val="28"/>
          <w:highlight w:val="none"/>
        </w:rPr>
        <w:fldChar w:fldCharType="separate"/>
      </w:r>
      <w:r>
        <w:rPr>
          <w:color w:val="auto"/>
          <w:sz w:val="28"/>
          <w:szCs w:val="28"/>
          <w:highlight w:val="none"/>
        </w:rPr>
        <w:t>99</w:t>
      </w:r>
      <w:r>
        <w:rPr>
          <w:color w:val="auto"/>
          <w:sz w:val="28"/>
          <w:szCs w:val="28"/>
          <w:highlight w:val="none"/>
        </w:rPr>
        <w:fldChar w:fldCharType="end"/>
      </w:r>
      <w:r>
        <w:rPr>
          <w:color w:val="auto"/>
          <w:sz w:val="28"/>
          <w:szCs w:val="28"/>
          <w:highlight w:val="none"/>
        </w:rPr>
        <w:fldChar w:fldCharType="end"/>
      </w:r>
    </w:p>
    <w:p w14:paraId="2642730B">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_Toc5504 </w:instrText>
      </w:r>
      <w:r>
        <w:rPr>
          <w:color w:val="auto"/>
          <w:sz w:val="28"/>
          <w:szCs w:val="28"/>
          <w:highlight w:val="none"/>
        </w:rPr>
        <w:fldChar w:fldCharType="separate"/>
      </w:r>
      <w:r>
        <w:rPr>
          <w:rFonts w:hint="eastAsia"/>
          <w:bCs w:val="0"/>
          <w:color w:val="auto"/>
          <w:sz w:val="28"/>
          <w:szCs w:val="28"/>
          <w:highlight w:val="none"/>
        </w:rPr>
        <w:t>（二）提升公民文明素养</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_Toc5504 </w:instrText>
      </w:r>
      <w:r>
        <w:rPr>
          <w:color w:val="auto"/>
          <w:sz w:val="28"/>
          <w:szCs w:val="28"/>
          <w:highlight w:val="none"/>
        </w:rPr>
        <w:fldChar w:fldCharType="separate"/>
      </w:r>
      <w:r>
        <w:rPr>
          <w:color w:val="auto"/>
          <w:sz w:val="28"/>
          <w:szCs w:val="28"/>
          <w:highlight w:val="none"/>
        </w:rPr>
        <w:t>99</w:t>
      </w:r>
      <w:r>
        <w:rPr>
          <w:color w:val="auto"/>
          <w:sz w:val="28"/>
          <w:szCs w:val="28"/>
          <w:highlight w:val="none"/>
        </w:rPr>
        <w:fldChar w:fldCharType="end"/>
      </w:r>
      <w:r>
        <w:rPr>
          <w:color w:val="auto"/>
          <w:sz w:val="28"/>
          <w:szCs w:val="28"/>
          <w:highlight w:val="none"/>
        </w:rPr>
        <w:fldChar w:fldCharType="end"/>
      </w:r>
    </w:p>
    <w:p w14:paraId="5B8994B7">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_Toc2047 </w:instrText>
      </w:r>
      <w:r>
        <w:rPr>
          <w:color w:val="auto"/>
          <w:sz w:val="28"/>
          <w:szCs w:val="28"/>
          <w:highlight w:val="none"/>
        </w:rPr>
        <w:fldChar w:fldCharType="separate"/>
      </w:r>
      <w:r>
        <w:rPr>
          <w:rFonts w:hint="eastAsia" w:eastAsia="黑体"/>
          <w:color w:val="auto"/>
          <w:sz w:val="28"/>
          <w:szCs w:val="28"/>
          <w:highlight w:val="none"/>
        </w:rPr>
        <w:t>二、传承发展优秀先进文化</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_Toc2047 </w:instrText>
      </w:r>
      <w:r>
        <w:rPr>
          <w:color w:val="auto"/>
          <w:sz w:val="28"/>
          <w:szCs w:val="28"/>
          <w:highlight w:val="none"/>
        </w:rPr>
        <w:fldChar w:fldCharType="separate"/>
      </w:r>
      <w:r>
        <w:rPr>
          <w:color w:val="auto"/>
          <w:sz w:val="28"/>
          <w:szCs w:val="28"/>
          <w:highlight w:val="none"/>
        </w:rPr>
        <w:t>100</w:t>
      </w:r>
      <w:r>
        <w:rPr>
          <w:color w:val="auto"/>
          <w:sz w:val="28"/>
          <w:szCs w:val="28"/>
          <w:highlight w:val="none"/>
        </w:rPr>
        <w:fldChar w:fldCharType="end"/>
      </w:r>
      <w:r>
        <w:rPr>
          <w:color w:val="auto"/>
          <w:sz w:val="28"/>
          <w:szCs w:val="28"/>
          <w:highlight w:val="none"/>
        </w:rPr>
        <w:fldChar w:fldCharType="end"/>
      </w:r>
    </w:p>
    <w:p w14:paraId="21096106">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_Toc26267 </w:instrText>
      </w:r>
      <w:r>
        <w:rPr>
          <w:color w:val="auto"/>
          <w:sz w:val="28"/>
          <w:szCs w:val="28"/>
          <w:highlight w:val="none"/>
        </w:rPr>
        <w:fldChar w:fldCharType="separate"/>
      </w:r>
      <w:r>
        <w:rPr>
          <w:rFonts w:hint="eastAsia"/>
          <w:bCs w:val="0"/>
          <w:color w:val="auto"/>
          <w:sz w:val="28"/>
          <w:szCs w:val="28"/>
          <w:highlight w:val="none"/>
        </w:rPr>
        <w:t>（一）塑造城市人文魅力</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_Toc26267 </w:instrText>
      </w:r>
      <w:r>
        <w:rPr>
          <w:color w:val="auto"/>
          <w:sz w:val="28"/>
          <w:szCs w:val="28"/>
          <w:highlight w:val="none"/>
        </w:rPr>
        <w:fldChar w:fldCharType="separate"/>
      </w:r>
      <w:r>
        <w:rPr>
          <w:color w:val="auto"/>
          <w:sz w:val="28"/>
          <w:szCs w:val="28"/>
          <w:highlight w:val="none"/>
        </w:rPr>
        <w:t>100</w:t>
      </w:r>
      <w:r>
        <w:rPr>
          <w:color w:val="auto"/>
          <w:sz w:val="28"/>
          <w:szCs w:val="28"/>
          <w:highlight w:val="none"/>
        </w:rPr>
        <w:fldChar w:fldCharType="end"/>
      </w:r>
      <w:r>
        <w:rPr>
          <w:color w:val="auto"/>
          <w:sz w:val="28"/>
          <w:szCs w:val="28"/>
          <w:highlight w:val="none"/>
        </w:rPr>
        <w:fldChar w:fldCharType="end"/>
      </w:r>
    </w:p>
    <w:p w14:paraId="40448BF8">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_Toc28268 </w:instrText>
      </w:r>
      <w:r>
        <w:rPr>
          <w:color w:val="auto"/>
          <w:sz w:val="28"/>
          <w:szCs w:val="28"/>
          <w:highlight w:val="none"/>
        </w:rPr>
        <w:fldChar w:fldCharType="separate"/>
      </w:r>
      <w:r>
        <w:rPr>
          <w:rFonts w:hint="eastAsia"/>
          <w:bCs w:val="0"/>
          <w:color w:val="auto"/>
          <w:sz w:val="28"/>
          <w:szCs w:val="28"/>
          <w:highlight w:val="none"/>
        </w:rPr>
        <w:t>（二）加强优秀文化作品创作生产和传播</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_Toc28268 </w:instrText>
      </w:r>
      <w:r>
        <w:rPr>
          <w:color w:val="auto"/>
          <w:sz w:val="28"/>
          <w:szCs w:val="28"/>
          <w:highlight w:val="none"/>
        </w:rPr>
        <w:fldChar w:fldCharType="separate"/>
      </w:r>
      <w:r>
        <w:rPr>
          <w:color w:val="auto"/>
          <w:sz w:val="28"/>
          <w:szCs w:val="28"/>
          <w:highlight w:val="none"/>
        </w:rPr>
        <w:t>101</w:t>
      </w:r>
      <w:r>
        <w:rPr>
          <w:color w:val="auto"/>
          <w:sz w:val="28"/>
          <w:szCs w:val="28"/>
          <w:highlight w:val="none"/>
        </w:rPr>
        <w:fldChar w:fldCharType="end"/>
      </w:r>
      <w:r>
        <w:rPr>
          <w:color w:val="auto"/>
          <w:sz w:val="28"/>
          <w:szCs w:val="28"/>
          <w:highlight w:val="none"/>
        </w:rPr>
        <w:fldChar w:fldCharType="end"/>
      </w:r>
    </w:p>
    <w:p w14:paraId="0DF16360">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_Toc23096 </w:instrText>
      </w:r>
      <w:r>
        <w:rPr>
          <w:color w:val="auto"/>
          <w:sz w:val="28"/>
          <w:szCs w:val="28"/>
          <w:highlight w:val="none"/>
        </w:rPr>
        <w:fldChar w:fldCharType="separate"/>
      </w:r>
      <w:r>
        <w:rPr>
          <w:rFonts w:hint="eastAsia" w:eastAsia="黑体"/>
          <w:color w:val="auto"/>
          <w:sz w:val="28"/>
          <w:szCs w:val="28"/>
          <w:highlight w:val="none"/>
        </w:rPr>
        <w:t>三、繁荣发展文化事业和文化产业</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_Toc23096 </w:instrText>
      </w:r>
      <w:r>
        <w:rPr>
          <w:color w:val="auto"/>
          <w:sz w:val="28"/>
          <w:szCs w:val="28"/>
          <w:highlight w:val="none"/>
        </w:rPr>
        <w:fldChar w:fldCharType="separate"/>
      </w:r>
      <w:r>
        <w:rPr>
          <w:color w:val="auto"/>
          <w:sz w:val="28"/>
          <w:szCs w:val="28"/>
          <w:highlight w:val="none"/>
        </w:rPr>
        <w:t>101</w:t>
      </w:r>
      <w:r>
        <w:rPr>
          <w:color w:val="auto"/>
          <w:sz w:val="28"/>
          <w:szCs w:val="28"/>
          <w:highlight w:val="none"/>
        </w:rPr>
        <w:fldChar w:fldCharType="end"/>
      </w:r>
      <w:r>
        <w:rPr>
          <w:color w:val="auto"/>
          <w:sz w:val="28"/>
          <w:szCs w:val="28"/>
          <w:highlight w:val="none"/>
        </w:rPr>
        <w:fldChar w:fldCharType="end"/>
      </w:r>
    </w:p>
    <w:p w14:paraId="4882576D">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_Toc650 </w:instrText>
      </w:r>
      <w:r>
        <w:rPr>
          <w:color w:val="auto"/>
          <w:sz w:val="28"/>
          <w:szCs w:val="28"/>
          <w:highlight w:val="none"/>
        </w:rPr>
        <w:fldChar w:fldCharType="separate"/>
      </w:r>
      <w:r>
        <w:rPr>
          <w:rFonts w:hint="eastAsia"/>
          <w:bCs w:val="0"/>
          <w:color w:val="auto"/>
          <w:sz w:val="28"/>
          <w:szCs w:val="28"/>
          <w:highlight w:val="none"/>
        </w:rPr>
        <w:t>（一）完善公共文化服务体系</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_Toc650 </w:instrText>
      </w:r>
      <w:r>
        <w:rPr>
          <w:color w:val="auto"/>
          <w:sz w:val="28"/>
          <w:szCs w:val="28"/>
          <w:highlight w:val="none"/>
        </w:rPr>
        <w:fldChar w:fldCharType="separate"/>
      </w:r>
      <w:r>
        <w:rPr>
          <w:color w:val="auto"/>
          <w:sz w:val="28"/>
          <w:szCs w:val="28"/>
          <w:highlight w:val="none"/>
        </w:rPr>
        <w:t>101</w:t>
      </w:r>
      <w:r>
        <w:rPr>
          <w:color w:val="auto"/>
          <w:sz w:val="28"/>
          <w:szCs w:val="28"/>
          <w:highlight w:val="none"/>
        </w:rPr>
        <w:fldChar w:fldCharType="end"/>
      </w:r>
      <w:r>
        <w:rPr>
          <w:color w:val="auto"/>
          <w:sz w:val="28"/>
          <w:szCs w:val="28"/>
          <w:highlight w:val="none"/>
        </w:rPr>
        <w:fldChar w:fldCharType="end"/>
      </w:r>
    </w:p>
    <w:p w14:paraId="0F54A416">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_Toc9766 </w:instrText>
      </w:r>
      <w:r>
        <w:rPr>
          <w:color w:val="auto"/>
          <w:sz w:val="28"/>
          <w:szCs w:val="28"/>
          <w:highlight w:val="none"/>
        </w:rPr>
        <w:fldChar w:fldCharType="separate"/>
      </w:r>
      <w:r>
        <w:rPr>
          <w:rFonts w:hint="eastAsia"/>
          <w:bCs w:val="0"/>
          <w:color w:val="auto"/>
          <w:sz w:val="28"/>
          <w:szCs w:val="28"/>
          <w:highlight w:val="none"/>
        </w:rPr>
        <w:t>（二）提高优质文化供给</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_Toc9766 </w:instrText>
      </w:r>
      <w:r>
        <w:rPr>
          <w:color w:val="auto"/>
          <w:sz w:val="28"/>
          <w:szCs w:val="28"/>
          <w:highlight w:val="none"/>
        </w:rPr>
        <w:fldChar w:fldCharType="separate"/>
      </w:r>
      <w:r>
        <w:rPr>
          <w:color w:val="auto"/>
          <w:sz w:val="28"/>
          <w:szCs w:val="28"/>
          <w:highlight w:val="none"/>
        </w:rPr>
        <w:t>102</w:t>
      </w:r>
      <w:r>
        <w:rPr>
          <w:color w:val="auto"/>
          <w:sz w:val="28"/>
          <w:szCs w:val="28"/>
          <w:highlight w:val="none"/>
        </w:rPr>
        <w:fldChar w:fldCharType="end"/>
      </w:r>
      <w:r>
        <w:rPr>
          <w:color w:val="auto"/>
          <w:sz w:val="28"/>
          <w:szCs w:val="28"/>
          <w:highlight w:val="none"/>
        </w:rPr>
        <w:fldChar w:fldCharType="end"/>
      </w:r>
    </w:p>
    <w:p w14:paraId="40D1D3F3">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_Toc24814 </w:instrText>
      </w:r>
      <w:r>
        <w:rPr>
          <w:color w:val="auto"/>
          <w:sz w:val="28"/>
          <w:szCs w:val="28"/>
          <w:highlight w:val="none"/>
        </w:rPr>
        <w:fldChar w:fldCharType="separate"/>
      </w:r>
      <w:r>
        <w:rPr>
          <w:rFonts w:hint="eastAsia"/>
          <w:bCs w:val="0"/>
          <w:color w:val="auto"/>
          <w:sz w:val="28"/>
          <w:szCs w:val="28"/>
          <w:highlight w:val="none"/>
        </w:rPr>
        <w:t>（三）深化文化体制改革</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_Toc24814 </w:instrText>
      </w:r>
      <w:r>
        <w:rPr>
          <w:color w:val="auto"/>
          <w:sz w:val="28"/>
          <w:szCs w:val="28"/>
          <w:highlight w:val="none"/>
        </w:rPr>
        <w:fldChar w:fldCharType="separate"/>
      </w:r>
      <w:r>
        <w:rPr>
          <w:color w:val="auto"/>
          <w:sz w:val="28"/>
          <w:szCs w:val="28"/>
          <w:highlight w:val="none"/>
        </w:rPr>
        <w:t>103</w:t>
      </w:r>
      <w:r>
        <w:rPr>
          <w:color w:val="auto"/>
          <w:sz w:val="28"/>
          <w:szCs w:val="28"/>
          <w:highlight w:val="none"/>
        </w:rPr>
        <w:fldChar w:fldCharType="end"/>
      </w:r>
      <w:r>
        <w:rPr>
          <w:color w:val="auto"/>
          <w:sz w:val="28"/>
          <w:szCs w:val="28"/>
          <w:highlight w:val="none"/>
        </w:rPr>
        <w:fldChar w:fldCharType="end"/>
      </w:r>
    </w:p>
    <w:p w14:paraId="0D7F24E8">
      <w:pPr>
        <w:pStyle w:val="13"/>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_Toc1921 </w:instrText>
      </w:r>
      <w:r>
        <w:rPr>
          <w:color w:val="auto"/>
          <w:sz w:val="28"/>
          <w:szCs w:val="28"/>
          <w:highlight w:val="none"/>
        </w:rPr>
        <w:fldChar w:fldCharType="separate"/>
      </w:r>
      <w:r>
        <w:rPr>
          <w:rFonts w:hint="eastAsia" w:eastAsia="宋体"/>
          <w:b/>
          <w:bCs/>
          <w:color w:val="auto"/>
          <w:spacing w:val="-6"/>
          <w:sz w:val="28"/>
          <w:szCs w:val="28"/>
          <w:highlight w:val="none"/>
        </w:rPr>
        <w:t>第十一章　改善人民生活品质，打造共建共享共同富裕的幸福家园</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_Toc1921 </w:instrText>
      </w:r>
      <w:r>
        <w:rPr>
          <w:color w:val="auto"/>
          <w:sz w:val="28"/>
          <w:szCs w:val="28"/>
          <w:highlight w:val="none"/>
        </w:rPr>
        <w:fldChar w:fldCharType="separate"/>
      </w:r>
      <w:r>
        <w:rPr>
          <w:color w:val="auto"/>
          <w:sz w:val="28"/>
          <w:szCs w:val="28"/>
          <w:highlight w:val="none"/>
        </w:rPr>
        <w:t>103</w:t>
      </w:r>
      <w:r>
        <w:rPr>
          <w:color w:val="auto"/>
          <w:sz w:val="28"/>
          <w:szCs w:val="28"/>
          <w:highlight w:val="none"/>
        </w:rPr>
        <w:fldChar w:fldCharType="end"/>
      </w:r>
      <w:r>
        <w:rPr>
          <w:color w:val="auto"/>
          <w:sz w:val="28"/>
          <w:szCs w:val="28"/>
          <w:highlight w:val="none"/>
        </w:rPr>
        <w:fldChar w:fldCharType="end"/>
      </w:r>
    </w:p>
    <w:p w14:paraId="5DB32D2D">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_Toc14641 </w:instrText>
      </w:r>
      <w:r>
        <w:rPr>
          <w:color w:val="auto"/>
          <w:sz w:val="28"/>
          <w:szCs w:val="28"/>
          <w:highlight w:val="none"/>
        </w:rPr>
        <w:fldChar w:fldCharType="separate"/>
      </w:r>
      <w:r>
        <w:rPr>
          <w:rFonts w:hint="eastAsia" w:eastAsia="黑体"/>
          <w:color w:val="auto"/>
          <w:sz w:val="28"/>
          <w:szCs w:val="28"/>
          <w:highlight w:val="none"/>
        </w:rPr>
        <w:t>一、提高城乡居民收入水平</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_Toc14641 </w:instrText>
      </w:r>
      <w:r>
        <w:rPr>
          <w:color w:val="auto"/>
          <w:sz w:val="28"/>
          <w:szCs w:val="28"/>
          <w:highlight w:val="none"/>
        </w:rPr>
        <w:fldChar w:fldCharType="separate"/>
      </w:r>
      <w:r>
        <w:rPr>
          <w:color w:val="auto"/>
          <w:sz w:val="28"/>
          <w:szCs w:val="28"/>
          <w:highlight w:val="none"/>
        </w:rPr>
        <w:t>104</w:t>
      </w:r>
      <w:r>
        <w:rPr>
          <w:color w:val="auto"/>
          <w:sz w:val="28"/>
          <w:szCs w:val="28"/>
          <w:highlight w:val="none"/>
        </w:rPr>
        <w:fldChar w:fldCharType="end"/>
      </w:r>
      <w:r>
        <w:rPr>
          <w:color w:val="auto"/>
          <w:sz w:val="28"/>
          <w:szCs w:val="28"/>
          <w:highlight w:val="none"/>
        </w:rPr>
        <w:fldChar w:fldCharType="end"/>
      </w:r>
    </w:p>
    <w:p w14:paraId="328BB027">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_Toc8147 </w:instrText>
      </w:r>
      <w:r>
        <w:rPr>
          <w:color w:val="auto"/>
          <w:sz w:val="28"/>
          <w:szCs w:val="28"/>
          <w:highlight w:val="none"/>
        </w:rPr>
        <w:fldChar w:fldCharType="separate"/>
      </w:r>
      <w:r>
        <w:rPr>
          <w:rFonts w:hint="eastAsia"/>
          <w:bCs w:val="0"/>
          <w:color w:val="auto"/>
          <w:sz w:val="28"/>
          <w:szCs w:val="28"/>
          <w:highlight w:val="none"/>
        </w:rPr>
        <w:t>（一）多渠道增加居民收入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_Toc8147 </w:instrText>
      </w:r>
      <w:r>
        <w:rPr>
          <w:color w:val="auto"/>
          <w:sz w:val="28"/>
          <w:szCs w:val="28"/>
          <w:highlight w:val="none"/>
        </w:rPr>
        <w:fldChar w:fldCharType="separate"/>
      </w:r>
      <w:r>
        <w:rPr>
          <w:color w:val="auto"/>
          <w:sz w:val="28"/>
          <w:szCs w:val="28"/>
          <w:highlight w:val="none"/>
        </w:rPr>
        <w:t>104</w:t>
      </w:r>
      <w:r>
        <w:rPr>
          <w:color w:val="auto"/>
          <w:sz w:val="28"/>
          <w:szCs w:val="28"/>
          <w:highlight w:val="none"/>
        </w:rPr>
        <w:fldChar w:fldCharType="end"/>
      </w:r>
      <w:r>
        <w:rPr>
          <w:color w:val="auto"/>
          <w:sz w:val="28"/>
          <w:szCs w:val="28"/>
          <w:highlight w:val="none"/>
        </w:rPr>
        <w:fldChar w:fldCharType="end"/>
      </w:r>
    </w:p>
    <w:p w14:paraId="4C3127D2">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_Toc29961 </w:instrText>
      </w:r>
      <w:r>
        <w:rPr>
          <w:color w:val="auto"/>
          <w:sz w:val="28"/>
          <w:szCs w:val="28"/>
          <w:highlight w:val="none"/>
        </w:rPr>
        <w:fldChar w:fldCharType="separate"/>
      </w:r>
      <w:r>
        <w:rPr>
          <w:rFonts w:hint="eastAsia"/>
          <w:bCs w:val="0"/>
          <w:color w:val="auto"/>
          <w:sz w:val="28"/>
          <w:szCs w:val="28"/>
          <w:highlight w:val="none"/>
        </w:rPr>
        <w:t>（二）完善收入分配机制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_Toc29961 </w:instrText>
      </w:r>
      <w:r>
        <w:rPr>
          <w:color w:val="auto"/>
          <w:sz w:val="28"/>
          <w:szCs w:val="28"/>
          <w:highlight w:val="none"/>
        </w:rPr>
        <w:fldChar w:fldCharType="separate"/>
      </w:r>
      <w:r>
        <w:rPr>
          <w:color w:val="auto"/>
          <w:sz w:val="28"/>
          <w:szCs w:val="28"/>
          <w:highlight w:val="none"/>
        </w:rPr>
        <w:t>104</w:t>
      </w:r>
      <w:r>
        <w:rPr>
          <w:color w:val="auto"/>
          <w:sz w:val="28"/>
          <w:szCs w:val="28"/>
          <w:highlight w:val="none"/>
        </w:rPr>
        <w:fldChar w:fldCharType="end"/>
      </w:r>
      <w:r>
        <w:rPr>
          <w:color w:val="auto"/>
          <w:sz w:val="28"/>
          <w:szCs w:val="28"/>
          <w:highlight w:val="none"/>
        </w:rPr>
        <w:fldChar w:fldCharType="end"/>
      </w:r>
    </w:p>
    <w:p w14:paraId="0E365364">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_Toc9603 </w:instrText>
      </w:r>
      <w:r>
        <w:rPr>
          <w:color w:val="auto"/>
          <w:sz w:val="28"/>
          <w:szCs w:val="28"/>
          <w:highlight w:val="none"/>
        </w:rPr>
        <w:fldChar w:fldCharType="separate"/>
      </w:r>
      <w:r>
        <w:rPr>
          <w:rFonts w:hint="eastAsia" w:eastAsia="黑体"/>
          <w:color w:val="auto"/>
          <w:sz w:val="28"/>
          <w:szCs w:val="28"/>
          <w:highlight w:val="none"/>
        </w:rPr>
        <w:t>二、实施更加积极的就业政策</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_Toc9603 </w:instrText>
      </w:r>
      <w:r>
        <w:rPr>
          <w:color w:val="auto"/>
          <w:sz w:val="28"/>
          <w:szCs w:val="28"/>
          <w:highlight w:val="none"/>
        </w:rPr>
        <w:fldChar w:fldCharType="separate"/>
      </w:r>
      <w:r>
        <w:rPr>
          <w:color w:val="auto"/>
          <w:sz w:val="28"/>
          <w:szCs w:val="28"/>
          <w:highlight w:val="none"/>
        </w:rPr>
        <w:t>105</w:t>
      </w:r>
      <w:r>
        <w:rPr>
          <w:color w:val="auto"/>
          <w:sz w:val="28"/>
          <w:szCs w:val="28"/>
          <w:highlight w:val="none"/>
        </w:rPr>
        <w:fldChar w:fldCharType="end"/>
      </w:r>
      <w:r>
        <w:rPr>
          <w:color w:val="auto"/>
          <w:sz w:val="28"/>
          <w:szCs w:val="28"/>
          <w:highlight w:val="none"/>
        </w:rPr>
        <w:fldChar w:fldCharType="end"/>
      </w:r>
    </w:p>
    <w:p w14:paraId="1C80B0FE">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_Toc24948 </w:instrText>
      </w:r>
      <w:r>
        <w:rPr>
          <w:color w:val="auto"/>
          <w:sz w:val="28"/>
          <w:szCs w:val="28"/>
          <w:highlight w:val="none"/>
        </w:rPr>
        <w:fldChar w:fldCharType="separate"/>
      </w:r>
      <w:r>
        <w:rPr>
          <w:rFonts w:hint="eastAsia"/>
          <w:bCs w:val="0"/>
          <w:color w:val="auto"/>
          <w:sz w:val="28"/>
          <w:szCs w:val="28"/>
          <w:highlight w:val="none"/>
        </w:rPr>
        <w:t>（一）扩大就业容量和空间</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_Toc24948 </w:instrText>
      </w:r>
      <w:r>
        <w:rPr>
          <w:color w:val="auto"/>
          <w:sz w:val="28"/>
          <w:szCs w:val="28"/>
          <w:highlight w:val="none"/>
        </w:rPr>
        <w:fldChar w:fldCharType="separate"/>
      </w:r>
      <w:r>
        <w:rPr>
          <w:color w:val="auto"/>
          <w:sz w:val="28"/>
          <w:szCs w:val="28"/>
          <w:highlight w:val="none"/>
        </w:rPr>
        <w:t>105</w:t>
      </w:r>
      <w:r>
        <w:rPr>
          <w:color w:val="auto"/>
          <w:sz w:val="28"/>
          <w:szCs w:val="28"/>
          <w:highlight w:val="none"/>
        </w:rPr>
        <w:fldChar w:fldCharType="end"/>
      </w:r>
      <w:r>
        <w:rPr>
          <w:color w:val="auto"/>
          <w:sz w:val="28"/>
          <w:szCs w:val="28"/>
          <w:highlight w:val="none"/>
        </w:rPr>
        <w:fldChar w:fldCharType="end"/>
      </w:r>
    </w:p>
    <w:p w14:paraId="7E9A0B2B">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_Toc27770 </w:instrText>
      </w:r>
      <w:r>
        <w:rPr>
          <w:color w:val="auto"/>
          <w:sz w:val="28"/>
          <w:szCs w:val="28"/>
          <w:highlight w:val="none"/>
        </w:rPr>
        <w:fldChar w:fldCharType="separate"/>
      </w:r>
      <w:r>
        <w:rPr>
          <w:rFonts w:hint="eastAsia"/>
          <w:bCs w:val="0"/>
          <w:color w:val="auto"/>
          <w:sz w:val="28"/>
          <w:szCs w:val="28"/>
          <w:highlight w:val="none"/>
        </w:rPr>
        <w:t>（二）加强公共就业服务</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_Toc27770 </w:instrText>
      </w:r>
      <w:r>
        <w:rPr>
          <w:color w:val="auto"/>
          <w:sz w:val="28"/>
          <w:szCs w:val="28"/>
          <w:highlight w:val="none"/>
        </w:rPr>
        <w:fldChar w:fldCharType="separate"/>
      </w:r>
      <w:r>
        <w:rPr>
          <w:color w:val="auto"/>
          <w:sz w:val="28"/>
          <w:szCs w:val="28"/>
          <w:highlight w:val="none"/>
        </w:rPr>
        <w:t>106</w:t>
      </w:r>
      <w:r>
        <w:rPr>
          <w:color w:val="auto"/>
          <w:sz w:val="28"/>
          <w:szCs w:val="28"/>
          <w:highlight w:val="none"/>
        </w:rPr>
        <w:fldChar w:fldCharType="end"/>
      </w:r>
      <w:r>
        <w:rPr>
          <w:color w:val="auto"/>
          <w:sz w:val="28"/>
          <w:szCs w:val="28"/>
          <w:highlight w:val="none"/>
        </w:rPr>
        <w:fldChar w:fldCharType="end"/>
      </w:r>
    </w:p>
    <w:p w14:paraId="5FD0BDD1">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_Toc23052 </w:instrText>
      </w:r>
      <w:r>
        <w:rPr>
          <w:color w:val="auto"/>
          <w:sz w:val="28"/>
          <w:szCs w:val="28"/>
          <w:highlight w:val="none"/>
        </w:rPr>
        <w:fldChar w:fldCharType="separate"/>
      </w:r>
      <w:r>
        <w:rPr>
          <w:rFonts w:hint="eastAsia"/>
          <w:bCs w:val="0"/>
          <w:color w:val="auto"/>
          <w:sz w:val="28"/>
          <w:szCs w:val="28"/>
          <w:highlight w:val="none"/>
        </w:rPr>
        <w:t>（三）健全就业制度保障体系</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_Toc23052 </w:instrText>
      </w:r>
      <w:r>
        <w:rPr>
          <w:color w:val="auto"/>
          <w:sz w:val="28"/>
          <w:szCs w:val="28"/>
          <w:highlight w:val="none"/>
        </w:rPr>
        <w:fldChar w:fldCharType="separate"/>
      </w:r>
      <w:r>
        <w:rPr>
          <w:color w:val="auto"/>
          <w:sz w:val="28"/>
          <w:szCs w:val="28"/>
          <w:highlight w:val="none"/>
        </w:rPr>
        <w:t>106</w:t>
      </w:r>
      <w:r>
        <w:rPr>
          <w:color w:val="auto"/>
          <w:sz w:val="28"/>
          <w:szCs w:val="28"/>
          <w:highlight w:val="none"/>
        </w:rPr>
        <w:fldChar w:fldCharType="end"/>
      </w:r>
      <w:r>
        <w:rPr>
          <w:color w:val="auto"/>
          <w:sz w:val="28"/>
          <w:szCs w:val="28"/>
          <w:highlight w:val="none"/>
        </w:rPr>
        <w:fldChar w:fldCharType="end"/>
      </w:r>
    </w:p>
    <w:p w14:paraId="7FE96C29">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_Toc17367 </w:instrText>
      </w:r>
      <w:r>
        <w:rPr>
          <w:color w:val="auto"/>
          <w:sz w:val="28"/>
          <w:szCs w:val="28"/>
          <w:highlight w:val="none"/>
        </w:rPr>
        <w:fldChar w:fldCharType="separate"/>
      </w:r>
      <w:r>
        <w:rPr>
          <w:rFonts w:hint="eastAsia" w:eastAsia="黑体"/>
          <w:color w:val="auto"/>
          <w:sz w:val="28"/>
          <w:szCs w:val="28"/>
          <w:highlight w:val="none"/>
        </w:rPr>
        <w:t>三、加快推进教育现代化</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_Toc17367 </w:instrText>
      </w:r>
      <w:r>
        <w:rPr>
          <w:color w:val="auto"/>
          <w:sz w:val="28"/>
          <w:szCs w:val="28"/>
          <w:highlight w:val="none"/>
        </w:rPr>
        <w:fldChar w:fldCharType="separate"/>
      </w:r>
      <w:r>
        <w:rPr>
          <w:color w:val="auto"/>
          <w:sz w:val="28"/>
          <w:szCs w:val="28"/>
          <w:highlight w:val="none"/>
        </w:rPr>
        <w:t>107</w:t>
      </w:r>
      <w:r>
        <w:rPr>
          <w:color w:val="auto"/>
          <w:sz w:val="28"/>
          <w:szCs w:val="28"/>
          <w:highlight w:val="none"/>
        </w:rPr>
        <w:fldChar w:fldCharType="end"/>
      </w:r>
      <w:r>
        <w:rPr>
          <w:color w:val="auto"/>
          <w:sz w:val="28"/>
          <w:szCs w:val="28"/>
          <w:highlight w:val="none"/>
        </w:rPr>
        <w:fldChar w:fldCharType="end"/>
      </w:r>
    </w:p>
    <w:p w14:paraId="02AB89AA">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_Toc5025 </w:instrText>
      </w:r>
      <w:r>
        <w:rPr>
          <w:color w:val="auto"/>
          <w:sz w:val="28"/>
          <w:szCs w:val="28"/>
          <w:highlight w:val="none"/>
        </w:rPr>
        <w:fldChar w:fldCharType="separate"/>
      </w:r>
      <w:r>
        <w:rPr>
          <w:rFonts w:hint="eastAsia" w:eastAsia="楷体"/>
          <w:bCs w:val="0"/>
          <w:color w:val="auto"/>
          <w:kern w:val="0"/>
          <w:sz w:val="28"/>
          <w:szCs w:val="28"/>
          <w:highlight w:val="none"/>
        </w:rPr>
        <w:t>（一）推动学前教育普及普惠安全发展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_Toc5025 </w:instrText>
      </w:r>
      <w:r>
        <w:rPr>
          <w:color w:val="auto"/>
          <w:sz w:val="28"/>
          <w:szCs w:val="28"/>
          <w:highlight w:val="none"/>
        </w:rPr>
        <w:fldChar w:fldCharType="separate"/>
      </w:r>
      <w:r>
        <w:rPr>
          <w:color w:val="auto"/>
          <w:sz w:val="28"/>
          <w:szCs w:val="28"/>
          <w:highlight w:val="none"/>
        </w:rPr>
        <w:t>107</w:t>
      </w:r>
      <w:r>
        <w:rPr>
          <w:color w:val="auto"/>
          <w:sz w:val="28"/>
          <w:szCs w:val="28"/>
          <w:highlight w:val="none"/>
        </w:rPr>
        <w:fldChar w:fldCharType="end"/>
      </w:r>
      <w:r>
        <w:rPr>
          <w:color w:val="auto"/>
          <w:sz w:val="28"/>
          <w:szCs w:val="28"/>
          <w:highlight w:val="none"/>
        </w:rPr>
        <w:fldChar w:fldCharType="end"/>
      </w:r>
    </w:p>
    <w:p w14:paraId="369CE419">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_Toc20146 </w:instrText>
      </w:r>
      <w:r>
        <w:rPr>
          <w:color w:val="auto"/>
          <w:sz w:val="28"/>
          <w:szCs w:val="28"/>
          <w:highlight w:val="none"/>
        </w:rPr>
        <w:fldChar w:fldCharType="separate"/>
      </w:r>
      <w:r>
        <w:rPr>
          <w:rFonts w:hint="eastAsia"/>
          <w:bCs w:val="0"/>
          <w:color w:val="auto"/>
          <w:sz w:val="28"/>
          <w:szCs w:val="28"/>
          <w:highlight w:val="none"/>
        </w:rPr>
        <w:t>（二）实现义务教育优质均衡发展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_Toc20146 </w:instrText>
      </w:r>
      <w:r>
        <w:rPr>
          <w:color w:val="auto"/>
          <w:sz w:val="28"/>
          <w:szCs w:val="28"/>
          <w:highlight w:val="none"/>
        </w:rPr>
        <w:fldChar w:fldCharType="separate"/>
      </w:r>
      <w:r>
        <w:rPr>
          <w:color w:val="auto"/>
          <w:sz w:val="28"/>
          <w:szCs w:val="28"/>
          <w:highlight w:val="none"/>
        </w:rPr>
        <w:t>108</w:t>
      </w:r>
      <w:r>
        <w:rPr>
          <w:color w:val="auto"/>
          <w:sz w:val="28"/>
          <w:szCs w:val="28"/>
          <w:highlight w:val="none"/>
        </w:rPr>
        <w:fldChar w:fldCharType="end"/>
      </w:r>
      <w:r>
        <w:rPr>
          <w:color w:val="auto"/>
          <w:sz w:val="28"/>
          <w:szCs w:val="28"/>
          <w:highlight w:val="none"/>
        </w:rPr>
        <w:fldChar w:fldCharType="end"/>
      </w:r>
    </w:p>
    <w:p w14:paraId="2CFEDCAF">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_Toc26728 </w:instrText>
      </w:r>
      <w:r>
        <w:rPr>
          <w:color w:val="auto"/>
          <w:sz w:val="28"/>
          <w:szCs w:val="28"/>
          <w:highlight w:val="none"/>
        </w:rPr>
        <w:fldChar w:fldCharType="separate"/>
      </w:r>
      <w:r>
        <w:rPr>
          <w:rFonts w:hint="eastAsia"/>
          <w:bCs w:val="0"/>
          <w:color w:val="auto"/>
          <w:sz w:val="28"/>
          <w:szCs w:val="28"/>
          <w:highlight w:val="none"/>
        </w:rPr>
        <w:t>（三）推进普通高中优质特色发展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_Toc26728 </w:instrText>
      </w:r>
      <w:r>
        <w:rPr>
          <w:color w:val="auto"/>
          <w:sz w:val="28"/>
          <w:szCs w:val="28"/>
          <w:highlight w:val="none"/>
        </w:rPr>
        <w:fldChar w:fldCharType="separate"/>
      </w:r>
      <w:r>
        <w:rPr>
          <w:color w:val="auto"/>
          <w:sz w:val="28"/>
          <w:szCs w:val="28"/>
          <w:highlight w:val="none"/>
        </w:rPr>
        <w:t>108</w:t>
      </w:r>
      <w:r>
        <w:rPr>
          <w:color w:val="auto"/>
          <w:sz w:val="28"/>
          <w:szCs w:val="28"/>
          <w:highlight w:val="none"/>
        </w:rPr>
        <w:fldChar w:fldCharType="end"/>
      </w:r>
      <w:r>
        <w:rPr>
          <w:color w:val="auto"/>
          <w:sz w:val="28"/>
          <w:szCs w:val="28"/>
          <w:highlight w:val="none"/>
        </w:rPr>
        <w:fldChar w:fldCharType="end"/>
      </w:r>
    </w:p>
    <w:p w14:paraId="7AED9756">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_Toc7160 </w:instrText>
      </w:r>
      <w:r>
        <w:rPr>
          <w:color w:val="auto"/>
          <w:sz w:val="28"/>
          <w:szCs w:val="28"/>
          <w:highlight w:val="none"/>
        </w:rPr>
        <w:fldChar w:fldCharType="separate"/>
      </w:r>
      <w:r>
        <w:rPr>
          <w:rFonts w:hint="eastAsia"/>
          <w:bCs w:val="0"/>
          <w:color w:val="auto"/>
          <w:sz w:val="28"/>
          <w:szCs w:val="28"/>
          <w:highlight w:val="none"/>
        </w:rPr>
        <w:t>（四）实现职业教育和高等教育高</w:t>
      </w:r>
      <w:r>
        <w:rPr>
          <w:rFonts w:hint="eastAsia"/>
          <w:bCs w:val="0"/>
          <w:color w:val="auto"/>
          <w:sz w:val="28"/>
          <w:szCs w:val="28"/>
          <w:highlight w:val="none"/>
          <w:lang w:eastAsia="zh-CN"/>
        </w:rPr>
        <w:t>质量</w:t>
      </w:r>
      <w:r>
        <w:rPr>
          <w:rFonts w:hint="eastAsia"/>
          <w:bCs w:val="0"/>
          <w:color w:val="auto"/>
          <w:sz w:val="28"/>
          <w:szCs w:val="28"/>
          <w:highlight w:val="none"/>
        </w:rPr>
        <w:t>发展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_Toc7160 </w:instrText>
      </w:r>
      <w:r>
        <w:rPr>
          <w:color w:val="auto"/>
          <w:sz w:val="28"/>
          <w:szCs w:val="28"/>
          <w:highlight w:val="none"/>
        </w:rPr>
        <w:fldChar w:fldCharType="separate"/>
      </w:r>
      <w:r>
        <w:rPr>
          <w:color w:val="auto"/>
          <w:sz w:val="28"/>
          <w:szCs w:val="28"/>
          <w:highlight w:val="none"/>
        </w:rPr>
        <w:t>109</w:t>
      </w:r>
      <w:r>
        <w:rPr>
          <w:color w:val="auto"/>
          <w:sz w:val="28"/>
          <w:szCs w:val="28"/>
          <w:highlight w:val="none"/>
        </w:rPr>
        <w:fldChar w:fldCharType="end"/>
      </w:r>
      <w:r>
        <w:rPr>
          <w:color w:val="auto"/>
          <w:sz w:val="28"/>
          <w:szCs w:val="28"/>
          <w:highlight w:val="none"/>
        </w:rPr>
        <w:fldChar w:fldCharType="end"/>
      </w:r>
    </w:p>
    <w:p w14:paraId="15E46E02">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_Toc6878 </w:instrText>
      </w:r>
      <w:r>
        <w:rPr>
          <w:color w:val="auto"/>
          <w:sz w:val="28"/>
          <w:szCs w:val="28"/>
          <w:highlight w:val="none"/>
        </w:rPr>
        <w:fldChar w:fldCharType="separate"/>
      </w:r>
      <w:r>
        <w:rPr>
          <w:rFonts w:hint="eastAsia" w:eastAsia="楷体"/>
          <w:bCs w:val="0"/>
          <w:color w:val="auto"/>
          <w:sz w:val="28"/>
          <w:szCs w:val="28"/>
          <w:highlight w:val="none"/>
        </w:rPr>
        <w:t>（五）加快信息化时代教育变革</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_Toc6878 </w:instrText>
      </w:r>
      <w:r>
        <w:rPr>
          <w:color w:val="auto"/>
          <w:sz w:val="28"/>
          <w:szCs w:val="28"/>
          <w:highlight w:val="none"/>
        </w:rPr>
        <w:fldChar w:fldCharType="separate"/>
      </w:r>
      <w:r>
        <w:rPr>
          <w:color w:val="auto"/>
          <w:sz w:val="28"/>
          <w:szCs w:val="28"/>
          <w:highlight w:val="none"/>
        </w:rPr>
        <w:t>110</w:t>
      </w:r>
      <w:r>
        <w:rPr>
          <w:color w:val="auto"/>
          <w:sz w:val="28"/>
          <w:szCs w:val="28"/>
          <w:highlight w:val="none"/>
        </w:rPr>
        <w:fldChar w:fldCharType="end"/>
      </w:r>
      <w:r>
        <w:rPr>
          <w:color w:val="auto"/>
          <w:sz w:val="28"/>
          <w:szCs w:val="28"/>
          <w:highlight w:val="none"/>
        </w:rPr>
        <w:fldChar w:fldCharType="end"/>
      </w:r>
    </w:p>
    <w:p w14:paraId="4D32CA85">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_Toc15960 </w:instrText>
      </w:r>
      <w:r>
        <w:rPr>
          <w:color w:val="auto"/>
          <w:sz w:val="28"/>
          <w:szCs w:val="28"/>
          <w:highlight w:val="none"/>
        </w:rPr>
        <w:fldChar w:fldCharType="separate"/>
      </w:r>
      <w:r>
        <w:rPr>
          <w:rFonts w:hint="eastAsia" w:eastAsia="楷体"/>
          <w:bCs w:val="0"/>
          <w:color w:val="auto"/>
          <w:sz w:val="28"/>
          <w:szCs w:val="28"/>
          <w:highlight w:val="none"/>
        </w:rPr>
        <w:t>（六）构建终身学习体系</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_Toc15960 </w:instrText>
      </w:r>
      <w:r>
        <w:rPr>
          <w:color w:val="auto"/>
          <w:sz w:val="28"/>
          <w:szCs w:val="28"/>
          <w:highlight w:val="none"/>
        </w:rPr>
        <w:fldChar w:fldCharType="separate"/>
      </w:r>
      <w:r>
        <w:rPr>
          <w:color w:val="auto"/>
          <w:sz w:val="28"/>
          <w:szCs w:val="28"/>
          <w:highlight w:val="none"/>
        </w:rPr>
        <w:t>110</w:t>
      </w:r>
      <w:r>
        <w:rPr>
          <w:color w:val="auto"/>
          <w:sz w:val="28"/>
          <w:szCs w:val="28"/>
          <w:highlight w:val="none"/>
        </w:rPr>
        <w:fldChar w:fldCharType="end"/>
      </w:r>
      <w:r>
        <w:rPr>
          <w:color w:val="auto"/>
          <w:sz w:val="28"/>
          <w:szCs w:val="28"/>
          <w:highlight w:val="none"/>
        </w:rPr>
        <w:fldChar w:fldCharType="end"/>
      </w:r>
    </w:p>
    <w:p w14:paraId="3BA9FAAC">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_Toc27797 </w:instrText>
      </w:r>
      <w:r>
        <w:rPr>
          <w:color w:val="auto"/>
          <w:sz w:val="28"/>
          <w:szCs w:val="28"/>
          <w:highlight w:val="none"/>
        </w:rPr>
        <w:fldChar w:fldCharType="separate"/>
      </w:r>
      <w:r>
        <w:rPr>
          <w:rFonts w:hint="eastAsia" w:eastAsia="黑体"/>
          <w:color w:val="auto"/>
          <w:sz w:val="28"/>
          <w:szCs w:val="28"/>
          <w:highlight w:val="none"/>
        </w:rPr>
        <w:t>四、深入推进</w:t>
      </w:r>
      <w:r>
        <w:rPr>
          <w:rFonts w:hint="eastAsia" w:eastAsia="黑体"/>
          <w:color w:val="auto"/>
          <w:sz w:val="28"/>
          <w:szCs w:val="28"/>
          <w:highlight w:val="none"/>
          <w:lang w:eastAsia="zh-CN"/>
        </w:rPr>
        <w:t>“</w:t>
      </w:r>
      <w:r>
        <w:rPr>
          <w:rFonts w:hint="eastAsia" w:eastAsia="黑体"/>
          <w:color w:val="auto"/>
          <w:sz w:val="28"/>
          <w:szCs w:val="28"/>
          <w:highlight w:val="none"/>
        </w:rPr>
        <w:t>健康秦皇岛</w:t>
      </w:r>
      <w:r>
        <w:rPr>
          <w:rFonts w:hint="eastAsia" w:eastAsia="黑体"/>
          <w:color w:val="auto"/>
          <w:sz w:val="28"/>
          <w:szCs w:val="28"/>
          <w:highlight w:val="none"/>
          <w:lang w:eastAsia="zh-CN"/>
        </w:rPr>
        <w:t>”</w:t>
      </w:r>
      <w:r>
        <w:rPr>
          <w:rFonts w:hint="eastAsia" w:eastAsia="黑体"/>
          <w:color w:val="auto"/>
          <w:sz w:val="28"/>
          <w:szCs w:val="28"/>
          <w:highlight w:val="none"/>
        </w:rPr>
        <w:t>建设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_Toc27797 </w:instrText>
      </w:r>
      <w:r>
        <w:rPr>
          <w:color w:val="auto"/>
          <w:sz w:val="28"/>
          <w:szCs w:val="28"/>
          <w:highlight w:val="none"/>
        </w:rPr>
        <w:fldChar w:fldCharType="separate"/>
      </w:r>
      <w:r>
        <w:rPr>
          <w:color w:val="auto"/>
          <w:sz w:val="28"/>
          <w:szCs w:val="28"/>
          <w:highlight w:val="none"/>
        </w:rPr>
        <w:t>110</w:t>
      </w:r>
      <w:r>
        <w:rPr>
          <w:color w:val="auto"/>
          <w:sz w:val="28"/>
          <w:szCs w:val="28"/>
          <w:highlight w:val="none"/>
        </w:rPr>
        <w:fldChar w:fldCharType="end"/>
      </w:r>
      <w:r>
        <w:rPr>
          <w:color w:val="auto"/>
          <w:sz w:val="28"/>
          <w:szCs w:val="28"/>
          <w:highlight w:val="none"/>
        </w:rPr>
        <w:fldChar w:fldCharType="end"/>
      </w:r>
    </w:p>
    <w:p w14:paraId="4AF048FD">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_Toc27729 </w:instrText>
      </w:r>
      <w:r>
        <w:rPr>
          <w:color w:val="auto"/>
          <w:sz w:val="28"/>
          <w:szCs w:val="28"/>
          <w:highlight w:val="none"/>
        </w:rPr>
        <w:fldChar w:fldCharType="separate"/>
      </w:r>
      <w:r>
        <w:rPr>
          <w:rFonts w:hint="eastAsia"/>
          <w:bCs w:val="0"/>
          <w:color w:val="auto"/>
          <w:sz w:val="28"/>
          <w:szCs w:val="28"/>
          <w:highlight w:val="none"/>
        </w:rPr>
        <w:t>（一）健全基本医疗卫生体系</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_Toc27729 </w:instrText>
      </w:r>
      <w:r>
        <w:rPr>
          <w:color w:val="auto"/>
          <w:sz w:val="28"/>
          <w:szCs w:val="28"/>
          <w:highlight w:val="none"/>
        </w:rPr>
        <w:fldChar w:fldCharType="separate"/>
      </w:r>
      <w:r>
        <w:rPr>
          <w:color w:val="auto"/>
          <w:sz w:val="28"/>
          <w:szCs w:val="28"/>
          <w:highlight w:val="none"/>
        </w:rPr>
        <w:t>111</w:t>
      </w:r>
      <w:r>
        <w:rPr>
          <w:color w:val="auto"/>
          <w:sz w:val="28"/>
          <w:szCs w:val="28"/>
          <w:highlight w:val="none"/>
        </w:rPr>
        <w:fldChar w:fldCharType="end"/>
      </w:r>
      <w:r>
        <w:rPr>
          <w:color w:val="auto"/>
          <w:sz w:val="28"/>
          <w:szCs w:val="28"/>
          <w:highlight w:val="none"/>
        </w:rPr>
        <w:fldChar w:fldCharType="end"/>
      </w:r>
    </w:p>
    <w:p w14:paraId="71CC7493">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_Toc4217 </w:instrText>
      </w:r>
      <w:r>
        <w:rPr>
          <w:color w:val="auto"/>
          <w:sz w:val="28"/>
          <w:szCs w:val="28"/>
          <w:highlight w:val="none"/>
        </w:rPr>
        <w:fldChar w:fldCharType="separate"/>
      </w:r>
      <w:r>
        <w:rPr>
          <w:rFonts w:hint="eastAsia"/>
          <w:bCs w:val="0"/>
          <w:color w:val="auto"/>
          <w:sz w:val="28"/>
          <w:szCs w:val="28"/>
          <w:highlight w:val="none"/>
        </w:rPr>
        <w:t>（二）完善公共卫生服务体系</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_Toc4217 </w:instrText>
      </w:r>
      <w:r>
        <w:rPr>
          <w:color w:val="auto"/>
          <w:sz w:val="28"/>
          <w:szCs w:val="28"/>
          <w:highlight w:val="none"/>
        </w:rPr>
        <w:fldChar w:fldCharType="separate"/>
      </w:r>
      <w:r>
        <w:rPr>
          <w:color w:val="auto"/>
          <w:sz w:val="28"/>
          <w:szCs w:val="28"/>
          <w:highlight w:val="none"/>
        </w:rPr>
        <w:t>112</w:t>
      </w:r>
      <w:r>
        <w:rPr>
          <w:color w:val="auto"/>
          <w:sz w:val="28"/>
          <w:szCs w:val="28"/>
          <w:highlight w:val="none"/>
        </w:rPr>
        <w:fldChar w:fldCharType="end"/>
      </w:r>
      <w:r>
        <w:rPr>
          <w:color w:val="auto"/>
          <w:sz w:val="28"/>
          <w:szCs w:val="28"/>
          <w:highlight w:val="none"/>
        </w:rPr>
        <w:fldChar w:fldCharType="end"/>
      </w:r>
    </w:p>
    <w:p w14:paraId="0B1B170C">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_Toc12761 </w:instrText>
      </w:r>
      <w:r>
        <w:rPr>
          <w:color w:val="auto"/>
          <w:sz w:val="28"/>
          <w:szCs w:val="28"/>
          <w:highlight w:val="none"/>
        </w:rPr>
        <w:fldChar w:fldCharType="separate"/>
      </w:r>
      <w:r>
        <w:rPr>
          <w:rFonts w:hint="eastAsia"/>
          <w:bCs w:val="0"/>
          <w:color w:val="auto"/>
          <w:sz w:val="28"/>
          <w:szCs w:val="28"/>
          <w:highlight w:val="none"/>
        </w:rPr>
        <w:t>（三）提高全民健康水平</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_Toc12761 </w:instrText>
      </w:r>
      <w:r>
        <w:rPr>
          <w:color w:val="auto"/>
          <w:sz w:val="28"/>
          <w:szCs w:val="28"/>
          <w:highlight w:val="none"/>
        </w:rPr>
        <w:fldChar w:fldCharType="separate"/>
      </w:r>
      <w:r>
        <w:rPr>
          <w:color w:val="auto"/>
          <w:sz w:val="28"/>
          <w:szCs w:val="28"/>
          <w:highlight w:val="none"/>
        </w:rPr>
        <w:t>113</w:t>
      </w:r>
      <w:r>
        <w:rPr>
          <w:color w:val="auto"/>
          <w:sz w:val="28"/>
          <w:szCs w:val="28"/>
          <w:highlight w:val="none"/>
        </w:rPr>
        <w:fldChar w:fldCharType="end"/>
      </w:r>
      <w:r>
        <w:rPr>
          <w:color w:val="auto"/>
          <w:sz w:val="28"/>
          <w:szCs w:val="28"/>
          <w:highlight w:val="none"/>
        </w:rPr>
        <w:fldChar w:fldCharType="end"/>
      </w:r>
    </w:p>
    <w:p w14:paraId="531667E0">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_Toc31840 </w:instrText>
      </w:r>
      <w:r>
        <w:rPr>
          <w:color w:val="auto"/>
          <w:sz w:val="28"/>
          <w:szCs w:val="28"/>
          <w:highlight w:val="none"/>
        </w:rPr>
        <w:fldChar w:fldCharType="separate"/>
      </w:r>
      <w:r>
        <w:rPr>
          <w:rFonts w:hint="eastAsia"/>
          <w:bCs w:val="0"/>
          <w:color w:val="auto"/>
          <w:sz w:val="28"/>
          <w:szCs w:val="28"/>
          <w:highlight w:val="none"/>
        </w:rPr>
        <w:t>（四）健全完善养老服务体系</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_Toc31840 </w:instrText>
      </w:r>
      <w:r>
        <w:rPr>
          <w:color w:val="auto"/>
          <w:sz w:val="28"/>
          <w:szCs w:val="28"/>
          <w:highlight w:val="none"/>
        </w:rPr>
        <w:fldChar w:fldCharType="separate"/>
      </w:r>
      <w:r>
        <w:rPr>
          <w:color w:val="auto"/>
          <w:sz w:val="28"/>
          <w:szCs w:val="28"/>
          <w:highlight w:val="none"/>
        </w:rPr>
        <w:t>114</w:t>
      </w:r>
      <w:r>
        <w:rPr>
          <w:color w:val="auto"/>
          <w:sz w:val="28"/>
          <w:szCs w:val="28"/>
          <w:highlight w:val="none"/>
        </w:rPr>
        <w:fldChar w:fldCharType="end"/>
      </w:r>
      <w:r>
        <w:rPr>
          <w:color w:val="auto"/>
          <w:sz w:val="28"/>
          <w:szCs w:val="28"/>
          <w:highlight w:val="none"/>
        </w:rPr>
        <w:fldChar w:fldCharType="end"/>
      </w:r>
    </w:p>
    <w:p w14:paraId="02B30121">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_Toc18501 </w:instrText>
      </w:r>
      <w:r>
        <w:rPr>
          <w:color w:val="auto"/>
          <w:sz w:val="28"/>
          <w:szCs w:val="28"/>
          <w:highlight w:val="none"/>
        </w:rPr>
        <w:fldChar w:fldCharType="separate"/>
      </w:r>
      <w:r>
        <w:rPr>
          <w:rFonts w:hint="eastAsia" w:eastAsia="黑体"/>
          <w:color w:val="auto"/>
          <w:sz w:val="28"/>
          <w:szCs w:val="28"/>
          <w:highlight w:val="none"/>
        </w:rPr>
        <w:t>五、进一步织牢织密民生保障网</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_Toc18501 </w:instrText>
      </w:r>
      <w:r>
        <w:rPr>
          <w:color w:val="auto"/>
          <w:sz w:val="28"/>
          <w:szCs w:val="28"/>
          <w:highlight w:val="none"/>
        </w:rPr>
        <w:fldChar w:fldCharType="separate"/>
      </w:r>
      <w:r>
        <w:rPr>
          <w:color w:val="auto"/>
          <w:sz w:val="28"/>
          <w:szCs w:val="28"/>
          <w:highlight w:val="none"/>
        </w:rPr>
        <w:t>114</w:t>
      </w:r>
      <w:r>
        <w:rPr>
          <w:color w:val="auto"/>
          <w:sz w:val="28"/>
          <w:szCs w:val="28"/>
          <w:highlight w:val="none"/>
        </w:rPr>
        <w:fldChar w:fldCharType="end"/>
      </w:r>
      <w:r>
        <w:rPr>
          <w:color w:val="auto"/>
          <w:sz w:val="28"/>
          <w:szCs w:val="28"/>
          <w:highlight w:val="none"/>
        </w:rPr>
        <w:fldChar w:fldCharType="end"/>
      </w:r>
    </w:p>
    <w:p w14:paraId="2083C1F1">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_Toc31703 </w:instrText>
      </w:r>
      <w:r>
        <w:rPr>
          <w:color w:val="auto"/>
          <w:sz w:val="28"/>
          <w:szCs w:val="28"/>
          <w:highlight w:val="none"/>
        </w:rPr>
        <w:fldChar w:fldCharType="separate"/>
      </w:r>
      <w:r>
        <w:rPr>
          <w:rFonts w:hint="eastAsia"/>
          <w:bCs w:val="0"/>
          <w:color w:val="auto"/>
          <w:sz w:val="28"/>
          <w:szCs w:val="28"/>
          <w:highlight w:val="none"/>
        </w:rPr>
        <w:t>（一）完善基本养老保险制度</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_Toc31703 </w:instrText>
      </w:r>
      <w:r>
        <w:rPr>
          <w:color w:val="auto"/>
          <w:sz w:val="28"/>
          <w:szCs w:val="28"/>
          <w:highlight w:val="none"/>
        </w:rPr>
        <w:fldChar w:fldCharType="separate"/>
      </w:r>
      <w:r>
        <w:rPr>
          <w:color w:val="auto"/>
          <w:sz w:val="28"/>
          <w:szCs w:val="28"/>
          <w:highlight w:val="none"/>
        </w:rPr>
        <w:t>115</w:t>
      </w:r>
      <w:r>
        <w:rPr>
          <w:color w:val="auto"/>
          <w:sz w:val="28"/>
          <w:szCs w:val="28"/>
          <w:highlight w:val="none"/>
        </w:rPr>
        <w:fldChar w:fldCharType="end"/>
      </w:r>
      <w:r>
        <w:rPr>
          <w:color w:val="auto"/>
          <w:sz w:val="28"/>
          <w:szCs w:val="28"/>
          <w:highlight w:val="none"/>
        </w:rPr>
        <w:fldChar w:fldCharType="end"/>
      </w:r>
    </w:p>
    <w:p w14:paraId="26F91335">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_Toc3664 </w:instrText>
      </w:r>
      <w:r>
        <w:rPr>
          <w:color w:val="auto"/>
          <w:sz w:val="28"/>
          <w:szCs w:val="28"/>
          <w:highlight w:val="none"/>
        </w:rPr>
        <w:fldChar w:fldCharType="separate"/>
      </w:r>
      <w:r>
        <w:rPr>
          <w:rFonts w:hint="eastAsia"/>
          <w:bCs w:val="0"/>
          <w:color w:val="auto"/>
          <w:sz w:val="28"/>
          <w:szCs w:val="28"/>
          <w:highlight w:val="none"/>
        </w:rPr>
        <w:t>（二）完善基本医疗</w:t>
      </w:r>
      <w:r>
        <w:rPr>
          <w:rFonts w:hint="eastAsia"/>
          <w:bCs w:val="0"/>
          <w:color w:val="auto"/>
          <w:sz w:val="28"/>
          <w:szCs w:val="28"/>
          <w:highlight w:val="none"/>
          <w:lang w:eastAsia="zh-CN"/>
        </w:rPr>
        <w:t>保险</w:t>
      </w:r>
      <w:r>
        <w:rPr>
          <w:rFonts w:hint="eastAsia"/>
          <w:bCs w:val="0"/>
          <w:color w:val="auto"/>
          <w:sz w:val="28"/>
          <w:szCs w:val="28"/>
          <w:highlight w:val="none"/>
        </w:rPr>
        <w:t>制度</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_Toc3664 </w:instrText>
      </w:r>
      <w:r>
        <w:rPr>
          <w:color w:val="auto"/>
          <w:sz w:val="28"/>
          <w:szCs w:val="28"/>
          <w:highlight w:val="none"/>
        </w:rPr>
        <w:fldChar w:fldCharType="separate"/>
      </w:r>
      <w:r>
        <w:rPr>
          <w:color w:val="auto"/>
          <w:sz w:val="28"/>
          <w:szCs w:val="28"/>
          <w:highlight w:val="none"/>
        </w:rPr>
        <w:t>115</w:t>
      </w:r>
      <w:r>
        <w:rPr>
          <w:color w:val="auto"/>
          <w:sz w:val="28"/>
          <w:szCs w:val="28"/>
          <w:highlight w:val="none"/>
        </w:rPr>
        <w:fldChar w:fldCharType="end"/>
      </w:r>
      <w:r>
        <w:rPr>
          <w:color w:val="auto"/>
          <w:sz w:val="28"/>
          <w:szCs w:val="28"/>
          <w:highlight w:val="none"/>
        </w:rPr>
        <w:fldChar w:fldCharType="end"/>
      </w:r>
    </w:p>
    <w:p w14:paraId="47F18094">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_Toc13959 </w:instrText>
      </w:r>
      <w:r>
        <w:rPr>
          <w:color w:val="auto"/>
          <w:sz w:val="28"/>
          <w:szCs w:val="28"/>
          <w:highlight w:val="none"/>
        </w:rPr>
        <w:fldChar w:fldCharType="separate"/>
      </w:r>
      <w:r>
        <w:rPr>
          <w:rFonts w:hint="eastAsia"/>
          <w:bCs w:val="0"/>
          <w:color w:val="auto"/>
          <w:sz w:val="28"/>
          <w:szCs w:val="28"/>
          <w:highlight w:val="none"/>
        </w:rPr>
        <w:t>（三）完善社会救助福利制度</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_Toc13959 </w:instrText>
      </w:r>
      <w:r>
        <w:rPr>
          <w:color w:val="auto"/>
          <w:sz w:val="28"/>
          <w:szCs w:val="28"/>
          <w:highlight w:val="none"/>
        </w:rPr>
        <w:fldChar w:fldCharType="separate"/>
      </w:r>
      <w:r>
        <w:rPr>
          <w:color w:val="auto"/>
          <w:sz w:val="28"/>
          <w:szCs w:val="28"/>
          <w:highlight w:val="none"/>
        </w:rPr>
        <w:t>116</w:t>
      </w:r>
      <w:r>
        <w:rPr>
          <w:color w:val="auto"/>
          <w:sz w:val="28"/>
          <w:szCs w:val="28"/>
          <w:highlight w:val="none"/>
        </w:rPr>
        <w:fldChar w:fldCharType="end"/>
      </w:r>
      <w:r>
        <w:rPr>
          <w:color w:val="auto"/>
          <w:sz w:val="28"/>
          <w:szCs w:val="28"/>
          <w:highlight w:val="none"/>
        </w:rPr>
        <w:fldChar w:fldCharType="end"/>
      </w:r>
    </w:p>
    <w:p w14:paraId="7DE2C6C3">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_Toc10610 </w:instrText>
      </w:r>
      <w:r>
        <w:rPr>
          <w:color w:val="auto"/>
          <w:sz w:val="28"/>
          <w:szCs w:val="28"/>
          <w:highlight w:val="none"/>
        </w:rPr>
        <w:fldChar w:fldCharType="separate"/>
      </w:r>
      <w:r>
        <w:rPr>
          <w:rFonts w:hint="eastAsia"/>
          <w:bCs w:val="0"/>
          <w:color w:val="auto"/>
          <w:sz w:val="28"/>
          <w:szCs w:val="28"/>
          <w:highlight w:val="none"/>
        </w:rPr>
        <w:t>（四）完善住房保障制度</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_Toc10610 </w:instrText>
      </w:r>
      <w:r>
        <w:rPr>
          <w:color w:val="auto"/>
          <w:sz w:val="28"/>
          <w:szCs w:val="28"/>
          <w:highlight w:val="none"/>
        </w:rPr>
        <w:fldChar w:fldCharType="separate"/>
      </w:r>
      <w:r>
        <w:rPr>
          <w:color w:val="auto"/>
          <w:sz w:val="28"/>
          <w:szCs w:val="28"/>
          <w:highlight w:val="none"/>
        </w:rPr>
        <w:t>116</w:t>
      </w:r>
      <w:r>
        <w:rPr>
          <w:color w:val="auto"/>
          <w:sz w:val="28"/>
          <w:szCs w:val="28"/>
          <w:highlight w:val="none"/>
        </w:rPr>
        <w:fldChar w:fldCharType="end"/>
      </w:r>
      <w:r>
        <w:rPr>
          <w:color w:val="auto"/>
          <w:sz w:val="28"/>
          <w:szCs w:val="28"/>
          <w:highlight w:val="none"/>
        </w:rPr>
        <w:fldChar w:fldCharType="end"/>
      </w:r>
    </w:p>
    <w:p w14:paraId="6A47374A">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_Toc11950 </w:instrText>
      </w:r>
      <w:r>
        <w:rPr>
          <w:color w:val="auto"/>
          <w:sz w:val="28"/>
          <w:szCs w:val="28"/>
          <w:highlight w:val="none"/>
        </w:rPr>
        <w:fldChar w:fldCharType="separate"/>
      </w:r>
      <w:r>
        <w:rPr>
          <w:rFonts w:hint="eastAsia" w:eastAsia="黑体"/>
          <w:color w:val="auto"/>
          <w:sz w:val="28"/>
          <w:szCs w:val="28"/>
          <w:highlight w:val="none"/>
        </w:rPr>
        <w:t>六、统筹其他各项事业发展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_Toc11950 </w:instrText>
      </w:r>
      <w:r>
        <w:rPr>
          <w:color w:val="auto"/>
          <w:sz w:val="28"/>
          <w:szCs w:val="28"/>
          <w:highlight w:val="none"/>
        </w:rPr>
        <w:fldChar w:fldCharType="separate"/>
      </w:r>
      <w:r>
        <w:rPr>
          <w:color w:val="auto"/>
          <w:sz w:val="28"/>
          <w:szCs w:val="28"/>
          <w:highlight w:val="none"/>
        </w:rPr>
        <w:t>117</w:t>
      </w:r>
      <w:r>
        <w:rPr>
          <w:color w:val="auto"/>
          <w:sz w:val="28"/>
          <w:szCs w:val="28"/>
          <w:highlight w:val="none"/>
        </w:rPr>
        <w:fldChar w:fldCharType="end"/>
      </w:r>
      <w:r>
        <w:rPr>
          <w:color w:val="auto"/>
          <w:sz w:val="28"/>
          <w:szCs w:val="28"/>
          <w:highlight w:val="none"/>
        </w:rPr>
        <w:fldChar w:fldCharType="end"/>
      </w:r>
    </w:p>
    <w:p w14:paraId="481DF43A">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_Toc25326 </w:instrText>
      </w:r>
      <w:r>
        <w:rPr>
          <w:color w:val="auto"/>
          <w:sz w:val="28"/>
          <w:szCs w:val="28"/>
          <w:highlight w:val="none"/>
        </w:rPr>
        <w:fldChar w:fldCharType="separate"/>
      </w:r>
      <w:r>
        <w:rPr>
          <w:rFonts w:hint="eastAsia"/>
          <w:bCs w:val="0"/>
          <w:color w:val="auto"/>
          <w:sz w:val="28"/>
          <w:szCs w:val="28"/>
          <w:highlight w:val="none"/>
        </w:rPr>
        <w:t>（一）严格落实民族和宗教政策</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_Toc25326 </w:instrText>
      </w:r>
      <w:r>
        <w:rPr>
          <w:color w:val="auto"/>
          <w:sz w:val="28"/>
          <w:szCs w:val="28"/>
          <w:highlight w:val="none"/>
        </w:rPr>
        <w:fldChar w:fldCharType="separate"/>
      </w:r>
      <w:r>
        <w:rPr>
          <w:color w:val="auto"/>
          <w:sz w:val="28"/>
          <w:szCs w:val="28"/>
          <w:highlight w:val="none"/>
        </w:rPr>
        <w:t>117</w:t>
      </w:r>
      <w:r>
        <w:rPr>
          <w:color w:val="auto"/>
          <w:sz w:val="28"/>
          <w:szCs w:val="28"/>
          <w:highlight w:val="none"/>
        </w:rPr>
        <w:fldChar w:fldCharType="end"/>
      </w:r>
      <w:r>
        <w:rPr>
          <w:color w:val="auto"/>
          <w:sz w:val="28"/>
          <w:szCs w:val="28"/>
          <w:highlight w:val="none"/>
        </w:rPr>
        <w:fldChar w:fldCharType="end"/>
      </w:r>
    </w:p>
    <w:p w14:paraId="4E33C8A2">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_Toc8323 </w:instrText>
      </w:r>
      <w:r>
        <w:rPr>
          <w:color w:val="auto"/>
          <w:sz w:val="28"/>
          <w:szCs w:val="28"/>
          <w:highlight w:val="none"/>
        </w:rPr>
        <w:fldChar w:fldCharType="separate"/>
      </w:r>
      <w:r>
        <w:rPr>
          <w:rFonts w:hint="eastAsia" w:eastAsia="楷体"/>
          <w:bCs w:val="0"/>
          <w:color w:val="auto"/>
          <w:sz w:val="28"/>
          <w:szCs w:val="28"/>
          <w:highlight w:val="none"/>
        </w:rPr>
        <w:t>（二）持续加强妇女儿童保护</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_Toc8323 </w:instrText>
      </w:r>
      <w:r>
        <w:rPr>
          <w:color w:val="auto"/>
          <w:sz w:val="28"/>
          <w:szCs w:val="28"/>
          <w:highlight w:val="none"/>
        </w:rPr>
        <w:fldChar w:fldCharType="separate"/>
      </w:r>
      <w:r>
        <w:rPr>
          <w:color w:val="auto"/>
          <w:sz w:val="28"/>
          <w:szCs w:val="28"/>
          <w:highlight w:val="none"/>
        </w:rPr>
        <w:t>117</w:t>
      </w:r>
      <w:r>
        <w:rPr>
          <w:color w:val="auto"/>
          <w:sz w:val="28"/>
          <w:szCs w:val="28"/>
          <w:highlight w:val="none"/>
        </w:rPr>
        <w:fldChar w:fldCharType="end"/>
      </w:r>
      <w:r>
        <w:rPr>
          <w:color w:val="auto"/>
          <w:sz w:val="28"/>
          <w:szCs w:val="28"/>
          <w:highlight w:val="none"/>
        </w:rPr>
        <w:fldChar w:fldCharType="end"/>
      </w:r>
    </w:p>
    <w:p w14:paraId="3AAE7AC8">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_Toc9783 </w:instrText>
      </w:r>
      <w:r>
        <w:rPr>
          <w:color w:val="auto"/>
          <w:sz w:val="28"/>
          <w:szCs w:val="28"/>
          <w:highlight w:val="none"/>
        </w:rPr>
        <w:fldChar w:fldCharType="separate"/>
      </w:r>
      <w:r>
        <w:rPr>
          <w:rFonts w:hint="eastAsia" w:eastAsia="楷体"/>
          <w:bCs w:val="0"/>
          <w:color w:val="auto"/>
          <w:sz w:val="28"/>
          <w:szCs w:val="28"/>
          <w:highlight w:val="none"/>
        </w:rPr>
        <w:t>（三）促进青少年优先发展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_Toc9783 </w:instrText>
      </w:r>
      <w:r>
        <w:rPr>
          <w:color w:val="auto"/>
          <w:sz w:val="28"/>
          <w:szCs w:val="28"/>
          <w:highlight w:val="none"/>
        </w:rPr>
        <w:fldChar w:fldCharType="separate"/>
      </w:r>
      <w:r>
        <w:rPr>
          <w:color w:val="auto"/>
          <w:sz w:val="28"/>
          <w:szCs w:val="28"/>
          <w:highlight w:val="none"/>
        </w:rPr>
        <w:t>118</w:t>
      </w:r>
      <w:r>
        <w:rPr>
          <w:color w:val="auto"/>
          <w:sz w:val="28"/>
          <w:szCs w:val="28"/>
          <w:highlight w:val="none"/>
        </w:rPr>
        <w:fldChar w:fldCharType="end"/>
      </w:r>
      <w:r>
        <w:rPr>
          <w:color w:val="auto"/>
          <w:sz w:val="28"/>
          <w:szCs w:val="28"/>
          <w:highlight w:val="none"/>
        </w:rPr>
        <w:fldChar w:fldCharType="end"/>
      </w:r>
    </w:p>
    <w:p w14:paraId="02E2C6F8">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_Toc12660 </w:instrText>
      </w:r>
      <w:r>
        <w:rPr>
          <w:color w:val="auto"/>
          <w:sz w:val="28"/>
          <w:szCs w:val="28"/>
          <w:highlight w:val="none"/>
        </w:rPr>
        <w:fldChar w:fldCharType="separate"/>
      </w:r>
      <w:r>
        <w:rPr>
          <w:rFonts w:hint="eastAsia" w:eastAsia="楷体"/>
          <w:bCs w:val="0"/>
          <w:color w:val="auto"/>
          <w:sz w:val="28"/>
          <w:szCs w:val="28"/>
          <w:highlight w:val="none"/>
        </w:rPr>
        <w:t>（四）强化退役军人服务保障</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_Toc12660 </w:instrText>
      </w:r>
      <w:r>
        <w:rPr>
          <w:color w:val="auto"/>
          <w:sz w:val="28"/>
          <w:szCs w:val="28"/>
          <w:highlight w:val="none"/>
        </w:rPr>
        <w:fldChar w:fldCharType="separate"/>
      </w:r>
      <w:r>
        <w:rPr>
          <w:color w:val="auto"/>
          <w:sz w:val="28"/>
          <w:szCs w:val="28"/>
          <w:highlight w:val="none"/>
        </w:rPr>
        <w:t>118</w:t>
      </w:r>
      <w:r>
        <w:rPr>
          <w:color w:val="auto"/>
          <w:sz w:val="28"/>
          <w:szCs w:val="28"/>
          <w:highlight w:val="none"/>
        </w:rPr>
        <w:fldChar w:fldCharType="end"/>
      </w:r>
      <w:r>
        <w:rPr>
          <w:color w:val="auto"/>
          <w:sz w:val="28"/>
          <w:szCs w:val="28"/>
          <w:highlight w:val="none"/>
        </w:rPr>
        <w:fldChar w:fldCharType="end"/>
      </w:r>
    </w:p>
    <w:p w14:paraId="12FAB10E">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_Toc29599 </w:instrText>
      </w:r>
      <w:r>
        <w:rPr>
          <w:color w:val="auto"/>
          <w:sz w:val="28"/>
          <w:szCs w:val="28"/>
          <w:highlight w:val="none"/>
        </w:rPr>
        <w:fldChar w:fldCharType="separate"/>
      </w:r>
      <w:r>
        <w:rPr>
          <w:rFonts w:hint="eastAsia" w:eastAsia="楷体"/>
          <w:bCs w:val="0"/>
          <w:color w:val="auto"/>
          <w:sz w:val="28"/>
          <w:szCs w:val="28"/>
          <w:highlight w:val="none"/>
        </w:rPr>
        <w:t>（五）支持发展残疾人事业</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_Toc29599 </w:instrText>
      </w:r>
      <w:r>
        <w:rPr>
          <w:color w:val="auto"/>
          <w:sz w:val="28"/>
          <w:szCs w:val="28"/>
          <w:highlight w:val="none"/>
        </w:rPr>
        <w:fldChar w:fldCharType="separate"/>
      </w:r>
      <w:r>
        <w:rPr>
          <w:color w:val="auto"/>
          <w:sz w:val="28"/>
          <w:szCs w:val="28"/>
          <w:highlight w:val="none"/>
        </w:rPr>
        <w:t>118</w:t>
      </w:r>
      <w:r>
        <w:rPr>
          <w:color w:val="auto"/>
          <w:sz w:val="28"/>
          <w:szCs w:val="28"/>
          <w:highlight w:val="none"/>
        </w:rPr>
        <w:fldChar w:fldCharType="end"/>
      </w:r>
      <w:r>
        <w:rPr>
          <w:color w:val="auto"/>
          <w:sz w:val="28"/>
          <w:szCs w:val="28"/>
          <w:highlight w:val="none"/>
        </w:rPr>
        <w:fldChar w:fldCharType="end"/>
      </w:r>
    </w:p>
    <w:p w14:paraId="65D4062D">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_Toc5797 </w:instrText>
      </w:r>
      <w:r>
        <w:rPr>
          <w:color w:val="auto"/>
          <w:sz w:val="28"/>
          <w:szCs w:val="28"/>
          <w:highlight w:val="none"/>
        </w:rPr>
        <w:fldChar w:fldCharType="separate"/>
      </w:r>
      <w:r>
        <w:rPr>
          <w:rFonts w:hint="eastAsia" w:eastAsia="楷体"/>
          <w:bCs w:val="0"/>
          <w:color w:val="auto"/>
          <w:sz w:val="28"/>
          <w:szCs w:val="28"/>
          <w:highlight w:val="none"/>
        </w:rPr>
        <w:t>（六）支持发展红十字事业</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_Toc5797 </w:instrText>
      </w:r>
      <w:r>
        <w:rPr>
          <w:color w:val="auto"/>
          <w:sz w:val="28"/>
          <w:szCs w:val="28"/>
          <w:highlight w:val="none"/>
        </w:rPr>
        <w:fldChar w:fldCharType="separate"/>
      </w:r>
      <w:r>
        <w:rPr>
          <w:color w:val="auto"/>
          <w:sz w:val="28"/>
          <w:szCs w:val="28"/>
          <w:highlight w:val="none"/>
        </w:rPr>
        <w:t>119</w:t>
      </w:r>
      <w:r>
        <w:rPr>
          <w:color w:val="auto"/>
          <w:sz w:val="28"/>
          <w:szCs w:val="28"/>
          <w:highlight w:val="none"/>
        </w:rPr>
        <w:fldChar w:fldCharType="end"/>
      </w:r>
      <w:r>
        <w:rPr>
          <w:color w:val="auto"/>
          <w:sz w:val="28"/>
          <w:szCs w:val="28"/>
          <w:highlight w:val="none"/>
        </w:rPr>
        <w:fldChar w:fldCharType="end"/>
      </w:r>
    </w:p>
    <w:p w14:paraId="7CF98FF0">
      <w:pPr>
        <w:pStyle w:val="13"/>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_Toc29043 </w:instrText>
      </w:r>
      <w:r>
        <w:rPr>
          <w:color w:val="auto"/>
          <w:sz w:val="28"/>
          <w:szCs w:val="28"/>
          <w:highlight w:val="none"/>
        </w:rPr>
        <w:fldChar w:fldCharType="separate"/>
      </w:r>
      <w:r>
        <w:rPr>
          <w:rFonts w:hint="eastAsia" w:eastAsia="宋体"/>
          <w:b/>
          <w:bCs/>
          <w:color w:val="auto"/>
          <w:spacing w:val="-17"/>
          <w:sz w:val="28"/>
          <w:szCs w:val="28"/>
          <w:highlight w:val="none"/>
        </w:rPr>
        <w:t>第十二章　统筹发展和安全，建设更高水平的平安秦皇岛</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_Toc29043 </w:instrText>
      </w:r>
      <w:r>
        <w:rPr>
          <w:color w:val="auto"/>
          <w:sz w:val="28"/>
          <w:szCs w:val="28"/>
          <w:highlight w:val="none"/>
        </w:rPr>
        <w:fldChar w:fldCharType="separate"/>
      </w:r>
      <w:r>
        <w:rPr>
          <w:color w:val="auto"/>
          <w:sz w:val="28"/>
          <w:szCs w:val="28"/>
          <w:highlight w:val="none"/>
        </w:rPr>
        <w:t>120</w:t>
      </w:r>
      <w:r>
        <w:rPr>
          <w:color w:val="auto"/>
          <w:sz w:val="28"/>
          <w:szCs w:val="28"/>
          <w:highlight w:val="none"/>
        </w:rPr>
        <w:fldChar w:fldCharType="end"/>
      </w:r>
      <w:r>
        <w:rPr>
          <w:color w:val="auto"/>
          <w:sz w:val="28"/>
          <w:szCs w:val="28"/>
          <w:highlight w:val="none"/>
        </w:rPr>
        <w:fldChar w:fldCharType="end"/>
      </w:r>
    </w:p>
    <w:p w14:paraId="000DAF76">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_Toc21528 </w:instrText>
      </w:r>
      <w:r>
        <w:rPr>
          <w:color w:val="auto"/>
          <w:sz w:val="28"/>
          <w:szCs w:val="28"/>
          <w:highlight w:val="none"/>
        </w:rPr>
        <w:fldChar w:fldCharType="separate"/>
      </w:r>
      <w:r>
        <w:rPr>
          <w:rFonts w:hint="eastAsia" w:eastAsia="黑体"/>
          <w:color w:val="auto"/>
          <w:sz w:val="28"/>
          <w:szCs w:val="28"/>
          <w:highlight w:val="none"/>
        </w:rPr>
        <w:t>一、深入贯彻总体国家安全观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_Toc21528 </w:instrText>
      </w:r>
      <w:r>
        <w:rPr>
          <w:color w:val="auto"/>
          <w:sz w:val="28"/>
          <w:szCs w:val="28"/>
          <w:highlight w:val="none"/>
        </w:rPr>
        <w:fldChar w:fldCharType="separate"/>
      </w:r>
      <w:r>
        <w:rPr>
          <w:color w:val="auto"/>
          <w:sz w:val="28"/>
          <w:szCs w:val="28"/>
          <w:highlight w:val="none"/>
        </w:rPr>
        <w:t>120</w:t>
      </w:r>
      <w:r>
        <w:rPr>
          <w:color w:val="auto"/>
          <w:sz w:val="28"/>
          <w:szCs w:val="28"/>
          <w:highlight w:val="none"/>
        </w:rPr>
        <w:fldChar w:fldCharType="end"/>
      </w:r>
      <w:r>
        <w:rPr>
          <w:color w:val="auto"/>
          <w:sz w:val="28"/>
          <w:szCs w:val="28"/>
          <w:highlight w:val="none"/>
        </w:rPr>
        <w:fldChar w:fldCharType="end"/>
      </w:r>
    </w:p>
    <w:p w14:paraId="535C126F">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_Toc22250 </w:instrText>
      </w:r>
      <w:r>
        <w:rPr>
          <w:color w:val="auto"/>
          <w:sz w:val="28"/>
          <w:szCs w:val="28"/>
          <w:highlight w:val="none"/>
        </w:rPr>
        <w:fldChar w:fldCharType="separate"/>
      </w:r>
      <w:r>
        <w:rPr>
          <w:rFonts w:hint="eastAsia"/>
          <w:bCs w:val="0"/>
          <w:color w:val="auto"/>
          <w:sz w:val="28"/>
          <w:szCs w:val="28"/>
          <w:highlight w:val="none"/>
        </w:rPr>
        <w:t>（一）加强国家安全体系能力建设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_Toc22250 </w:instrText>
      </w:r>
      <w:r>
        <w:rPr>
          <w:color w:val="auto"/>
          <w:sz w:val="28"/>
          <w:szCs w:val="28"/>
          <w:highlight w:val="none"/>
        </w:rPr>
        <w:fldChar w:fldCharType="separate"/>
      </w:r>
      <w:r>
        <w:rPr>
          <w:color w:val="auto"/>
          <w:sz w:val="28"/>
          <w:szCs w:val="28"/>
          <w:highlight w:val="none"/>
        </w:rPr>
        <w:t>120</w:t>
      </w:r>
      <w:r>
        <w:rPr>
          <w:color w:val="auto"/>
          <w:sz w:val="28"/>
          <w:szCs w:val="28"/>
          <w:highlight w:val="none"/>
        </w:rPr>
        <w:fldChar w:fldCharType="end"/>
      </w:r>
      <w:r>
        <w:rPr>
          <w:color w:val="auto"/>
          <w:sz w:val="28"/>
          <w:szCs w:val="28"/>
          <w:highlight w:val="none"/>
        </w:rPr>
        <w:fldChar w:fldCharType="end"/>
      </w:r>
    </w:p>
    <w:p w14:paraId="19756CE7">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_Toc612 </w:instrText>
      </w:r>
      <w:r>
        <w:rPr>
          <w:color w:val="auto"/>
          <w:sz w:val="28"/>
          <w:szCs w:val="28"/>
          <w:highlight w:val="none"/>
        </w:rPr>
        <w:fldChar w:fldCharType="separate"/>
      </w:r>
      <w:r>
        <w:rPr>
          <w:rFonts w:hint="eastAsia"/>
          <w:bCs w:val="0"/>
          <w:color w:val="auto"/>
          <w:sz w:val="28"/>
          <w:szCs w:val="28"/>
          <w:highlight w:val="none"/>
        </w:rPr>
        <w:t>（二）确保经济安全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_Toc612 </w:instrText>
      </w:r>
      <w:r>
        <w:rPr>
          <w:color w:val="auto"/>
          <w:sz w:val="28"/>
          <w:szCs w:val="28"/>
          <w:highlight w:val="none"/>
        </w:rPr>
        <w:fldChar w:fldCharType="separate"/>
      </w:r>
      <w:r>
        <w:rPr>
          <w:color w:val="auto"/>
          <w:sz w:val="28"/>
          <w:szCs w:val="28"/>
          <w:highlight w:val="none"/>
        </w:rPr>
        <w:t>121</w:t>
      </w:r>
      <w:r>
        <w:rPr>
          <w:color w:val="auto"/>
          <w:sz w:val="28"/>
          <w:szCs w:val="28"/>
          <w:highlight w:val="none"/>
        </w:rPr>
        <w:fldChar w:fldCharType="end"/>
      </w:r>
      <w:r>
        <w:rPr>
          <w:color w:val="auto"/>
          <w:sz w:val="28"/>
          <w:szCs w:val="28"/>
          <w:highlight w:val="none"/>
        </w:rPr>
        <w:fldChar w:fldCharType="end"/>
      </w:r>
    </w:p>
    <w:p w14:paraId="18F7DBDB">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_Toc1936 </w:instrText>
      </w:r>
      <w:r>
        <w:rPr>
          <w:color w:val="auto"/>
          <w:sz w:val="28"/>
          <w:szCs w:val="28"/>
          <w:highlight w:val="none"/>
        </w:rPr>
        <w:fldChar w:fldCharType="separate"/>
      </w:r>
      <w:r>
        <w:rPr>
          <w:rFonts w:hint="eastAsia"/>
          <w:bCs w:val="0"/>
          <w:color w:val="auto"/>
          <w:sz w:val="28"/>
          <w:szCs w:val="28"/>
          <w:highlight w:val="none"/>
        </w:rPr>
        <w:t>（三）保障网络安全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_Toc1936 </w:instrText>
      </w:r>
      <w:r>
        <w:rPr>
          <w:color w:val="auto"/>
          <w:sz w:val="28"/>
          <w:szCs w:val="28"/>
          <w:highlight w:val="none"/>
        </w:rPr>
        <w:fldChar w:fldCharType="separate"/>
      </w:r>
      <w:r>
        <w:rPr>
          <w:color w:val="auto"/>
          <w:sz w:val="28"/>
          <w:szCs w:val="28"/>
          <w:highlight w:val="none"/>
        </w:rPr>
        <w:t>121</w:t>
      </w:r>
      <w:r>
        <w:rPr>
          <w:color w:val="auto"/>
          <w:sz w:val="28"/>
          <w:szCs w:val="28"/>
          <w:highlight w:val="none"/>
        </w:rPr>
        <w:fldChar w:fldCharType="end"/>
      </w:r>
      <w:r>
        <w:rPr>
          <w:color w:val="auto"/>
          <w:sz w:val="28"/>
          <w:szCs w:val="28"/>
          <w:highlight w:val="none"/>
        </w:rPr>
        <w:fldChar w:fldCharType="end"/>
      </w:r>
    </w:p>
    <w:p w14:paraId="2DBC013D">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_Toc14063 </w:instrText>
      </w:r>
      <w:r>
        <w:rPr>
          <w:color w:val="auto"/>
          <w:sz w:val="28"/>
          <w:szCs w:val="28"/>
          <w:highlight w:val="none"/>
        </w:rPr>
        <w:fldChar w:fldCharType="separate"/>
      </w:r>
      <w:r>
        <w:rPr>
          <w:rFonts w:hint="eastAsia"/>
          <w:bCs w:val="0"/>
          <w:color w:val="auto"/>
          <w:sz w:val="28"/>
          <w:szCs w:val="28"/>
          <w:highlight w:val="none"/>
        </w:rPr>
        <w:t>（四）推动经济建设与国防建设协调发展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_Toc14063 </w:instrText>
      </w:r>
      <w:r>
        <w:rPr>
          <w:color w:val="auto"/>
          <w:sz w:val="28"/>
          <w:szCs w:val="28"/>
          <w:highlight w:val="none"/>
        </w:rPr>
        <w:fldChar w:fldCharType="separate"/>
      </w:r>
      <w:r>
        <w:rPr>
          <w:color w:val="auto"/>
          <w:sz w:val="28"/>
          <w:szCs w:val="28"/>
          <w:highlight w:val="none"/>
        </w:rPr>
        <w:t>121</w:t>
      </w:r>
      <w:r>
        <w:rPr>
          <w:color w:val="auto"/>
          <w:sz w:val="28"/>
          <w:szCs w:val="28"/>
          <w:highlight w:val="none"/>
        </w:rPr>
        <w:fldChar w:fldCharType="end"/>
      </w:r>
      <w:r>
        <w:rPr>
          <w:color w:val="auto"/>
          <w:sz w:val="28"/>
          <w:szCs w:val="28"/>
          <w:highlight w:val="none"/>
        </w:rPr>
        <w:fldChar w:fldCharType="end"/>
      </w:r>
    </w:p>
    <w:p w14:paraId="0307EB64">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_Toc11033 </w:instrText>
      </w:r>
      <w:r>
        <w:rPr>
          <w:color w:val="auto"/>
          <w:sz w:val="28"/>
          <w:szCs w:val="28"/>
          <w:highlight w:val="none"/>
        </w:rPr>
        <w:fldChar w:fldCharType="separate"/>
      </w:r>
      <w:r>
        <w:rPr>
          <w:rFonts w:hint="eastAsia" w:eastAsia="黑体"/>
          <w:color w:val="auto"/>
          <w:sz w:val="28"/>
          <w:szCs w:val="28"/>
          <w:highlight w:val="none"/>
        </w:rPr>
        <w:t>二、强化安全和应急管理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_Toc11033 </w:instrText>
      </w:r>
      <w:r>
        <w:rPr>
          <w:color w:val="auto"/>
          <w:sz w:val="28"/>
          <w:szCs w:val="28"/>
          <w:highlight w:val="none"/>
        </w:rPr>
        <w:fldChar w:fldCharType="separate"/>
      </w:r>
      <w:r>
        <w:rPr>
          <w:color w:val="auto"/>
          <w:sz w:val="28"/>
          <w:szCs w:val="28"/>
          <w:highlight w:val="none"/>
        </w:rPr>
        <w:t>122</w:t>
      </w:r>
      <w:r>
        <w:rPr>
          <w:color w:val="auto"/>
          <w:sz w:val="28"/>
          <w:szCs w:val="28"/>
          <w:highlight w:val="none"/>
        </w:rPr>
        <w:fldChar w:fldCharType="end"/>
      </w:r>
      <w:r>
        <w:rPr>
          <w:color w:val="auto"/>
          <w:sz w:val="28"/>
          <w:szCs w:val="28"/>
          <w:highlight w:val="none"/>
        </w:rPr>
        <w:fldChar w:fldCharType="end"/>
      </w:r>
    </w:p>
    <w:p w14:paraId="4BDAC1C6">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_Toc19190 </w:instrText>
      </w:r>
      <w:r>
        <w:rPr>
          <w:color w:val="auto"/>
          <w:sz w:val="28"/>
          <w:szCs w:val="28"/>
          <w:highlight w:val="none"/>
        </w:rPr>
        <w:fldChar w:fldCharType="separate"/>
      </w:r>
      <w:r>
        <w:rPr>
          <w:rFonts w:hint="eastAsia"/>
          <w:bCs w:val="0"/>
          <w:color w:val="auto"/>
          <w:sz w:val="28"/>
          <w:szCs w:val="28"/>
          <w:highlight w:val="none"/>
        </w:rPr>
        <w:t>（一）毫不放松抓好常态化疫情防控</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_Toc19190 </w:instrText>
      </w:r>
      <w:r>
        <w:rPr>
          <w:color w:val="auto"/>
          <w:sz w:val="28"/>
          <w:szCs w:val="28"/>
          <w:highlight w:val="none"/>
        </w:rPr>
        <w:fldChar w:fldCharType="separate"/>
      </w:r>
      <w:r>
        <w:rPr>
          <w:color w:val="auto"/>
          <w:sz w:val="28"/>
          <w:szCs w:val="28"/>
          <w:highlight w:val="none"/>
        </w:rPr>
        <w:t>122</w:t>
      </w:r>
      <w:r>
        <w:rPr>
          <w:color w:val="auto"/>
          <w:sz w:val="28"/>
          <w:szCs w:val="28"/>
          <w:highlight w:val="none"/>
        </w:rPr>
        <w:fldChar w:fldCharType="end"/>
      </w:r>
      <w:r>
        <w:rPr>
          <w:color w:val="auto"/>
          <w:sz w:val="28"/>
          <w:szCs w:val="28"/>
          <w:highlight w:val="none"/>
        </w:rPr>
        <w:fldChar w:fldCharType="end"/>
      </w:r>
    </w:p>
    <w:p w14:paraId="1C17FF39">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_Toc11457 </w:instrText>
      </w:r>
      <w:r>
        <w:rPr>
          <w:color w:val="auto"/>
          <w:sz w:val="28"/>
          <w:szCs w:val="28"/>
          <w:highlight w:val="none"/>
        </w:rPr>
        <w:fldChar w:fldCharType="separate"/>
      </w:r>
      <w:r>
        <w:rPr>
          <w:rFonts w:hint="eastAsia"/>
          <w:bCs w:val="0"/>
          <w:color w:val="auto"/>
          <w:sz w:val="28"/>
          <w:szCs w:val="28"/>
          <w:highlight w:val="none"/>
        </w:rPr>
        <w:t>（二）全面落实安全生产责任制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_Toc11457 </w:instrText>
      </w:r>
      <w:r>
        <w:rPr>
          <w:color w:val="auto"/>
          <w:sz w:val="28"/>
          <w:szCs w:val="28"/>
          <w:highlight w:val="none"/>
        </w:rPr>
        <w:fldChar w:fldCharType="separate"/>
      </w:r>
      <w:r>
        <w:rPr>
          <w:color w:val="auto"/>
          <w:sz w:val="28"/>
          <w:szCs w:val="28"/>
          <w:highlight w:val="none"/>
        </w:rPr>
        <w:t>123</w:t>
      </w:r>
      <w:r>
        <w:rPr>
          <w:color w:val="auto"/>
          <w:sz w:val="28"/>
          <w:szCs w:val="28"/>
          <w:highlight w:val="none"/>
        </w:rPr>
        <w:fldChar w:fldCharType="end"/>
      </w:r>
      <w:r>
        <w:rPr>
          <w:color w:val="auto"/>
          <w:sz w:val="28"/>
          <w:szCs w:val="28"/>
          <w:highlight w:val="none"/>
        </w:rPr>
        <w:fldChar w:fldCharType="end"/>
      </w:r>
    </w:p>
    <w:p w14:paraId="4282B419">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_Toc24561 </w:instrText>
      </w:r>
      <w:r>
        <w:rPr>
          <w:color w:val="auto"/>
          <w:sz w:val="28"/>
          <w:szCs w:val="28"/>
          <w:highlight w:val="none"/>
        </w:rPr>
        <w:fldChar w:fldCharType="separate"/>
      </w:r>
      <w:r>
        <w:rPr>
          <w:rFonts w:hint="eastAsia"/>
          <w:bCs w:val="0"/>
          <w:color w:val="auto"/>
          <w:sz w:val="28"/>
          <w:szCs w:val="28"/>
          <w:highlight w:val="none"/>
        </w:rPr>
        <w:t>（三）保障食品药品安全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_Toc24561 </w:instrText>
      </w:r>
      <w:r>
        <w:rPr>
          <w:color w:val="auto"/>
          <w:sz w:val="28"/>
          <w:szCs w:val="28"/>
          <w:highlight w:val="none"/>
        </w:rPr>
        <w:fldChar w:fldCharType="separate"/>
      </w:r>
      <w:r>
        <w:rPr>
          <w:color w:val="auto"/>
          <w:sz w:val="28"/>
          <w:szCs w:val="28"/>
          <w:highlight w:val="none"/>
        </w:rPr>
        <w:t>124</w:t>
      </w:r>
      <w:r>
        <w:rPr>
          <w:color w:val="auto"/>
          <w:sz w:val="28"/>
          <w:szCs w:val="28"/>
          <w:highlight w:val="none"/>
        </w:rPr>
        <w:fldChar w:fldCharType="end"/>
      </w:r>
      <w:r>
        <w:rPr>
          <w:color w:val="auto"/>
          <w:sz w:val="28"/>
          <w:szCs w:val="28"/>
          <w:highlight w:val="none"/>
        </w:rPr>
        <w:fldChar w:fldCharType="end"/>
      </w:r>
    </w:p>
    <w:p w14:paraId="1B4EDF51">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_Toc9883 </w:instrText>
      </w:r>
      <w:r>
        <w:rPr>
          <w:color w:val="auto"/>
          <w:sz w:val="28"/>
          <w:szCs w:val="28"/>
          <w:highlight w:val="none"/>
        </w:rPr>
        <w:fldChar w:fldCharType="separate"/>
      </w:r>
      <w:r>
        <w:rPr>
          <w:rFonts w:hint="eastAsia"/>
          <w:bCs w:val="0"/>
          <w:color w:val="auto"/>
          <w:sz w:val="28"/>
          <w:szCs w:val="28"/>
          <w:highlight w:val="none"/>
        </w:rPr>
        <w:t>（四）提高防灾减灾抗灾救灾能力</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_Toc9883 </w:instrText>
      </w:r>
      <w:r>
        <w:rPr>
          <w:color w:val="auto"/>
          <w:sz w:val="28"/>
          <w:szCs w:val="28"/>
          <w:highlight w:val="none"/>
        </w:rPr>
        <w:fldChar w:fldCharType="separate"/>
      </w:r>
      <w:r>
        <w:rPr>
          <w:color w:val="auto"/>
          <w:sz w:val="28"/>
          <w:szCs w:val="28"/>
          <w:highlight w:val="none"/>
        </w:rPr>
        <w:t>124</w:t>
      </w:r>
      <w:r>
        <w:rPr>
          <w:color w:val="auto"/>
          <w:sz w:val="28"/>
          <w:szCs w:val="28"/>
          <w:highlight w:val="none"/>
        </w:rPr>
        <w:fldChar w:fldCharType="end"/>
      </w:r>
      <w:r>
        <w:rPr>
          <w:color w:val="auto"/>
          <w:sz w:val="28"/>
          <w:szCs w:val="28"/>
          <w:highlight w:val="none"/>
        </w:rPr>
        <w:fldChar w:fldCharType="end"/>
      </w:r>
    </w:p>
    <w:p w14:paraId="714FA3F8">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_Toc13341 </w:instrText>
      </w:r>
      <w:r>
        <w:rPr>
          <w:color w:val="auto"/>
          <w:sz w:val="28"/>
          <w:szCs w:val="28"/>
          <w:highlight w:val="none"/>
        </w:rPr>
        <w:fldChar w:fldCharType="separate"/>
      </w:r>
      <w:r>
        <w:rPr>
          <w:rFonts w:hint="eastAsia" w:eastAsia="黑体"/>
          <w:color w:val="auto"/>
          <w:sz w:val="28"/>
          <w:szCs w:val="28"/>
          <w:highlight w:val="none"/>
        </w:rPr>
        <w:t>三、加强和创新社会治理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_Toc13341 </w:instrText>
      </w:r>
      <w:r>
        <w:rPr>
          <w:color w:val="auto"/>
          <w:sz w:val="28"/>
          <w:szCs w:val="28"/>
          <w:highlight w:val="none"/>
        </w:rPr>
        <w:fldChar w:fldCharType="separate"/>
      </w:r>
      <w:r>
        <w:rPr>
          <w:color w:val="auto"/>
          <w:sz w:val="28"/>
          <w:szCs w:val="28"/>
          <w:highlight w:val="none"/>
        </w:rPr>
        <w:t>125</w:t>
      </w:r>
      <w:r>
        <w:rPr>
          <w:color w:val="auto"/>
          <w:sz w:val="28"/>
          <w:szCs w:val="28"/>
          <w:highlight w:val="none"/>
        </w:rPr>
        <w:fldChar w:fldCharType="end"/>
      </w:r>
      <w:r>
        <w:rPr>
          <w:color w:val="auto"/>
          <w:sz w:val="28"/>
          <w:szCs w:val="28"/>
          <w:highlight w:val="none"/>
        </w:rPr>
        <w:fldChar w:fldCharType="end"/>
      </w:r>
    </w:p>
    <w:p w14:paraId="0BA3F63C">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_Toc8327 </w:instrText>
      </w:r>
      <w:r>
        <w:rPr>
          <w:color w:val="auto"/>
          <w:sz w:val="28"/>
          <w:szCs w:val="28"/>
          <w:highlight w:val="none"/>
        </w:rPr>
        <w:fldChar w:fldCharType="separate"/>
      </w:r>
      <w:r>
        <w:rPr>
          <w:rFonts w:hint="eastAsia"/>
          <w:bCs w:val="0"/>
          <w:color w:val="auto"/>
          <w:sz w:val="28"/>
          <w:szCs w:val="28"/>
          <w:highlight w:val="none"/>
        </w:rPr>
        <w:t>（一）健全基层群众自治制度</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_Toc8327 </w:instrText>
      </w:r>
      <w:r>
        <w:rPr>
          <w:color w:val="auto"/>
          <w:sz w:val="28"/>
          <w:szCs w:val="28"/>
          <w:highlight w:val="none"/>
        </w:rPr>
        <w:fldChar w:fldCharType="separate"/>
      </w:r>
      <w:r>
        <w:rPr>
          <w:color w:val="auto"/>
          <w:sz w:val="28"/>
          <w:szCs w:val="28"/>
          <w:highlight w:val="none"/>
        </w:rPr>
        <w:t>125</w:t>
      </w:r>
      <w:r>
        <w:rPr>
          <w:color w:val="auto"/>
          <w:sz w:val="28"/>
          <w:szCs w:val="28"/>
          <w:highlight w:val="none"/>
        </w:rPr>
        <w:fldChar w:fldCharType="end"/>
      </w:r>
      <w:r>
        <w:rPr>
          <w:color w:val="auto"/>
          <w:sz w:val="28"/>
          <w:szCs w:val="28"/>
          <w:highlight w:val="none"/>
        </w:rPr>
        <w:fldChar w:fldCharType="end"/>
      </w:r>
    </w:p>
    <w:p w14:paraId="489F69BF">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_Toc12325 </w:instrText>
      </w:r>
      <w:r>
        <w:rPr>
          <w:color w:val="auto"/>
          <w:sz w:val="28"/>
          <w:szCs w:val="28"/>
          <w:highlight w:val="none"/>
        </w:rPr>
        <w:fldChar w:fldCharType="separate"/>
      </w:r>
      <w:r>
        <w:rPr>
          <w:rFonts w:hint="eastAsia"/>
          <w:bCs w:val="0"/>
          <w:color w:val="auto"/>
          <w:sz w:val="28"/>
          <w:szCs w:val="28"/>
          <w:highlight w:val="none"/>
        </w:rPr>
        <w:t>（二）加强基层法治治理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_Toc12325 </w:instrText>
      </w:r>
      <w:r>
        <w:rPr>
          <w:color w:val="auto"/>
          <w:sz w:val="28"/>
          <w:szCs w:val="28"/>
          <w:highlight w:val="none"/>
        </w:rPr>
        <w:fldChar w:fldCharType="separate"/>
      </w:r>
      <w:r>
        <w:rPr>
          <w:color w:val="auto"/>
          <w:sz w:val="28"/>
          <w:szCs w:val="28"/>
          <w:highlight w:val="none"/>
        </w:rPr>
        <w:t>126</w:t>
      </w:r>
      <w:r>
        <w:rPr>
          <w:color w:val="auto"/>
          <w:sz w:val="28"/>
          <w:szCs w:val="28"/>
          <w:highlight w:val="none"/>
        </w:rPr>
        <w:fldChar w:fldCharType="end"/>
      </w:r>
      <w:r>
        <w:rPr>
          <w:color w:val="auto"/>
          <w:sz w:val="28"/>
          <w:szCs w:val="28"/>
          <w:highlight w:val="none"/>
        </w:rPr>
        <w:fldChar w:fldCharType="end"/>
      </w:r>
    </w:p>
    <w:p w14:paraId="794BFF1D">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_Toc1958 </w:instrText>
      </w:r>
      <w:r>
        <w:rPr>
          <w:color w:val="auto"/>
          <w:sz w:val="28"/>
          <w:szCs w:val="28"/>
          <w:highlight w:val="none"/>
        </w:rPr>
        <w:fldChar w:fldCharType="separate"/>
      </w:r>
      <w:r>
        <w:rPr>
          <w:rFonts w:hint="eastAsia"/>
          <w:bCs w:val="0"/>
          <w:color w:val="auto"/>
          <w:sz w:val="28"/>
          <w:szCs w:val="28"/>
          <w:highlight w:val="none"/>
        </w:rPr>
        <w:t>（三）正确处理人民内部矛盾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_Toc1958 </w:instrText>
      </w:r>
      <w:r>
        <w:rPr>
          <w:color w:val="auto"/>
          <w:sz w:val="28"/>
          <w:szCs w:val="28"/>
          <w:highlight w:val="none"/>
        </w:rPr>
        <w:fldChar w:fldCharType="separate"/>
      </w:r>
      <w:r>
        <w:rPr>
          <w:color w:val="auto"/>
          <w:sz w:val="28"/>
          <w:szCs w:val="28"/>
          <w:highlight w:val="none"/>
        </w:rPr>
        <w:t>126</w:t>
      </w:r>
      <w:r>
        <w:rPr>
          <w:color w:val="auto"/>
          <w:sz w:val="28"/>
          <w:szCs w:val="28"/>
          <w:highlight w:val="none"/>
        </w:rPr>
        <w:fldChar w:fldCharType="end"/>
      </w:r>
      <w:r>
        <w:rPr>
          <w:color w:val="auto"/>
          <w:sz w:val="28"/>
          <w:szCs w:val="28"/>
          <w:highlight w:val="none"/>
        </w:rPr>
        <w:fldChar w:fldCharType="end"/>
      </w:r>
    </w:p>
    <w:p w14:paraId="1B4D00D9">
      <w:pPr>
        <w:pStyle w:val="10"/>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_Toc8004 </w:instrText>
      </w:r>
      <w:r>
        <w:rPr>
          <w:color w:val="auto"/>
          <w:sz w:val="28"/>
          <w:szCs w:val="28"/>
          <w:highlight w:val="none"/>
        </w:rPr>
        <w:fldChar w:fldCharType="separate"/>
      </w:r>
      <w:r>
        <w:rPr>
          <w:rFonts w:hint="eastAsia" w:ascii="楷体" w:hAnsi="楷体" w:eastAsia="楷体" w:cs="楷体"/>
          <w:color w:val="auto"/>
          <w:sz w:val="28"/>
          <w:szCs w:val="28"/>
          <w:highlight w:val="none"/>
        </w:rPr>
        <w:t>（四）完善现代化社会治安防控体系</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_Toc8004 </w:instrText>
      </w:r>
      <w:r>
        <w:rPr>
          <w:color w:val="auto"/>
          <w:sz w:val="28"/>
          <w:szCs w:val="28"/>
          <w:highlight w:val="none"/>
        </w:rPr>
        <w:fldChar w:fldCharType="separate"/>
      </w:r>
      <w:r>
        <w:rPr>
          <w:color w:val="auto"/>
          <w:sz w:val="28"/>
          <w:szCs w:val="28"/>
          <w:highlight w:val="none"/>
        </w:rPr>
        <w:t>127</w:t>
      </w:r>
      <w:r>
        <w:rPr>
          <w:color w:val="auto"/>
          <w:sz w:val="28"/>
          <w:szCs w:val="28"/>
          <w:highlight w:val="none"/>
        </w:rPr>
        <w:fldChar w:fldCharType="end"/>
      </w:r>
      <w:r>
        <w:rPr>
          <w:color w:val="auto"/>
          <w:sz w:val="28"/>
          <w:szCs w:val="28"/>
          <w:highlight w:val="none"/>
        </w:rPr>
        <w:fldChar w:fldCharType="end"/>
      </w:r>
    </w:p>
    <w:p w14:paraId="4364199B">
      <w:pPr>
        <w:pStyle w:val="13"/>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_Toc10874 </w:instrText>
      </w:r>
      <w:r>
        <w:rPr>
          <w:color w:val="auto"/>
          <w:sz w:val="28"/>
          <w:szCs w:val="28"/>
          <w:highlight w:val="none"/>
        </w:rPr>
        <w:fldChar w:fldCharType="separate"/>
      </w:r>
      <w:r>
        <w:rPr>
          <w:rFonts w:hint="eastAsia" w:eastAsia="宋体"/>
          <w:b/>
          <w:bCs/>
          <w:color w:val="auto"/>
          <w:spacing w:val="-4"/>
          <w:sz w:val="28"/>
          <w:szCs w:val="28"/>
          <w:highlight w:val="none"/>
        </w:rPr>
        <w:t>第十三章</w:t>
      </w:r>
      <w:r>
        <w:rPr>
          <w:rFonts w:eastAsia="宋体"/>
          <w:b/>
          <w:bCs/>
          <w:color w:val="auto"/>
          <w:spacing w:val="-4"/>
          <w:sz w:val="28"/>
          <w:szCs w:val="28"/>
          <w:highlight w:val="none"/>
        </w:rPr>
        <w:t xml:space="preserve"> </w:t>
      </w:r>
      <w:r>
        <w:rPr>
          <w:rFonts w:hint="eastAsia" w:eastAsia="宋体"/>
          <w:b/>
          <w:bCs/>
          <w:color w:val="auto"/>
          <w:spacing w:val="-4"/>
          <w:sz w:val="28"/>
          <w:szCs w:val="28"/>
          <w:highlight w:val="none"/>
        </w:rPr>
        <w:t>坚持和加强党的全面领导，为规划实施提供坚强保障</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_Toc10874 </w:instrText>
      </w:r>
      <w:r>
        <w:rPr>
          <w:color w:val="auto"/>
          <w:sz w:val="28"/>
          <w:szCs w:val="28"/>
          <w:highlight w:val="none"/>
        </w:rPr>
        <w:fldChar w:fldCharType="separate"/>
      </w:r>
      <w:r>
        <w:rPr>
          <w:color w:val="auto"/>
          <w:sz w:val="28"/>
          <w:szCs w:val="28"/>
          <w:highlight w:val="none"/>
        </w:rPr>
        <w:t>128</w:t>
      </w:r>
      <w:r>
        <w:rPr>
          <w:color w:val="auto"/>
          <w:sz w:val="28"/>
          <w:szCs w:val="28"/>
          <w:highlight w:val="none"/>
        </w:rPr>
        <w:fldChar w:fldCharType="end"/>
      </w:r>
      <w:r>
        <w:rPr>
          <w:color w:val="auto"/>
          <w:sz w:val="28"/>
          <w:szCs w:val="28"/>
          <w:highlight w:val="none"/>
        </w:rPr>
        <w:fldChar w:fldCharType="end"/>
      </w:r>
    </w:p>
    <w:p w14:paraId="52139242">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_Toc19802 </w:instrText>
      </w:r>
      <w:r>
        <w:rPr>
          <w:color w:val="auto"/>
          <w:sz w:val="28"/>
          <w:szCs w:val="28"/>
          <w:highlight w:val="none"/>
        </w:rPr>
        <w:fldChar w:fldCharType="separate"/>
      </w:r>
      <w:r>
        <w:rPr>
          <w:rFonts w:hint="eastAsia" w:eastAsia="黑体"/>
          <w:color w:val="auto"/>
          <w:sz w:val="28"/>
          <w:szCs w:val="28"/>
          <w:highlight w:val="none"/>
        </w:rPr>
        <w:t>一、完善党领导经济社会发展工作体制机制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_Toc19802 </w:instrText>
      </w:r>
      <w:r>
        <w:rPr>
          <w:color w:val="auto"/>
          <w:sz w:val="28"/>
          <w:szCs w:val="28"/>
          <w:highlight w:val="none"/>
        </w:rPr>
        <w:fldChar w:fldCharType="separate"/>
      </w:r>
      <w:r>
        <w:rPr>
          <w:color w:val="auto"/>
          <w:sz w:val="28"/>
          <w:szCs w:val="28"/>
          <w:highlight w:val="none"/>
        </w:rPr>
        <w:t>128</w:t>
      </w:r>
      <w:r>
        <w:rPr>
          <w:color w:val="auto"/>
          <w:sz w:val="28"/>
          <w:szCs w:val="28"/>
          <w:highlight w:val="none"/>
        </w:rPr>
        <w:fldChar w:fldCharType="end"/>
      </w:r>
      <w:r>
        <w:rPr>
          <w:color w:val="auto"/>
          <w:sz w:val="28"/>
          <w:szCs w:val="28"/>
          <w:highlight w:val="none"/>
        </w:rPr>
        <w:fldChar w:fldCharType="end"/>
      </w:r>
    </w:p>
    <w:p w14:paraId="6ECB8AE8">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_Toc10017 </w:instrText>
      </w:r>
      <w:r>
        <w:rPr>
          <w:color w:val="auto"/>
          <w:sz w:val="28"/>
          <w:szCs w:val="28"/>
          <w:highlight w:val="none"/>
        </w:rPr>
        <w:fldChar w:fldCharType="separate"/>
      </w:r>
      <w:r>
        <w:rPr>
          <w:rFonts w:hint="eastAsia" w:eastAsia="黑体"/>
          <w:color w:val="auto"/>
          <w:sz w:val="28"/>
          <w:szCs w:val="28"/>
          <w:highlight w:val="none"/>
        </w:rPr>
        <w:t>二、扎实推进社会主义政治建设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_Toc10017 </w:instrText>
      </w:r>
      <w:r>
        <w:rPr>
          <w:color w:val="auto"/>
          <w:sz w:val="28"/>
          <w:szCs w:val="28"/>
          <w:highlight w:val="none"/>
        </w:rPr>
        <w:fldChar w:fldCharType="separate"/>
      </w:r>
      <w:r>
        <w:rPr>
          <w:color w:val="auto"/>
          <w:sz w:val="28"/>
          <w:szCs w:val="28"/>
          <w:highlight w:val="none"/>
        </w:rPr>
        <w:t>129</w:t>
      </w:r>
      <w:r>
        <w:rPr>
          <w:color w:val="auto"/>
          <w:sz w:val="28"/>
          <w:szCs w:val="28"/>
          <w:highlight w:val="none"/>
        </w:rPr>
        <w:fldChar w:fldCharType="end"/>
      </w:r>
      <w:r>
        <w:rPr>
          <w:color w:val="auto"/>
          <w:sz w:val="28"/>
          <w:szCs w:val="28"/>
          <w:highlight w:val="none"/>
        </w:rPr>
        <w:fldChar w:fldCharType="end"/>
      </w:r>
    </w:p>
    <w:p w14:paraId="170F53AC">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_Toc25290 </w:instrText>
      </w:r>
      <w:r>
        <w:rPr>
          <w:color w:val="auto"/>
          <w:sz w:val="28"/>
          <w:szCs w:val="28"/>
          <w:highlight w:val="none"/>
        </w:rPr>
        <w:fldChar w:fldCharType="separate"/>
      </w:r>
      <w:r>
        <w:rPr>
          <w:rFonts w:hint="eastAsia" w:eastAsia="黑体"/>
          <w:color w:val="auto"/>
          <w:sz w:val="28"/>
          <w:szCs w:val="28"/>
          <w:highlight w:val="none"/>
        </w:rPr>
        <w:t>三、全面提升法治建设水平</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_Toc25290 </w:instrText>
      </w:r>
      <w:r>
        <w:rPr>
          <w:color w:val="auto"/>
          <w:sz w:val="28"/>
          <w:szCs w:val="28"/>
          <w:highlight w:val="none"/>
        </w:rPr>
        <w:fldChar w:fldCharType="separate"/>
      </w:r>
      <w:r>
        <w:rPr>
          <w:color w:val="auto"/>
          <w:sz w:val="28"/>
          <w:szCs w:val="28"/>
          <w:highlight w:val="none"/>
        </w:rPr>
        <w:t>129</w:t>
      </w:r>
      <w:r>
        <w:rPr>
          <w:color w:val="auto"/>
          <w:sz w:val="28"/>
          <w:szCs w:val="28"/>
          <w:highlight w:val="none"/>
        </w:rPr>
        <w:fldChar w:fldCharType="end"/>
      </w:r>
      <w:r>
        <w:rPr>
          <w:color w:val="auto"/>
          <w:sz w:val="28"/>
          <w:szCs w:val="28"/>
          <w:highlight w:val="none"/>
        </w:rPr>
        <w:fldChar w:fldCharType="end"/>
      </w:r>
    </w:p>
    <w:p w14:paraId="3E04C004">
      <w:pPr>
        <w:pStyle w:val="14"/>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color w:val="auto"/>
          <w:highlight w:val="none"/>
        </w:rPr>
      </w:pPr>
      <w:r>
        <w:rPr>
          <w:color w:val="auto"/>
          <w:sz w:val="28"/>
          <w:szCs w:val="28"/>
          <w:highlight w:val="none"/>
        </w:rPr>
        <w:fldChar w:fldCharType="begin"/>
      </w:r>
      <w:r>
        <w:rPr>
          <w:color w:val="auto"/>
          <w:sz w:val="28"/>
          <w:szCs w:val="28"/>
          <w:highlight w:val="none"/>
        </w:rPr>
        <w:instrText xml:space="preserve"> HYPERLINK \l _Toc25670 </w:instrText>
      </w:r>
      <w:r>
        <w:rPr>
          <w:color w:val="auto"/>
          <w:sz w:val="28"/>
          <w:szCs w:val="28"/>
          <w:highlight w:val="none"/>
        </w:rPr>
        <w:fldChar w:fldCharType="separate"/>
      </w:r>
      <w:r>
        <w:rPr>
          <w:rFonts w:hint="eastAsia" w:eastAsia="黑体"/>
          <w:color w:val="auto"/>
          <w:sz w:val="28"/>
          <w:szCs w:val="28"/>
          <w:highlight w:val="none"/>
        </w:rPr>
        <w:t>四、完善规划实施机制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_Toc25670 </w:instrText>
      </w:r>
      <w:r>
        <w:rPr>
          <w:color w:val="auto"/>
          <w:sz w:val="28"/>
          <w:szCs w:val="28"/>
          <w:highlight w:val="none"/>
        </w:rPr>
        <w:fldChar w:fldCharType="separate"/>
      </w:r>
      <w:r>
        <w:rPr>
          <w:color w:val="auto"/>
          <w:sz w:val="28"/>
          <w:szCs w:val="28"/>
          <w:highlight w:val="none"/>
        </w:rPr>
        <w:t>130</w:t>
      </w:r>
      <w:r>
        <w:rPr>
          <w:color w:val="auto"/>
          <w:sz w:val="28"/>
          <w:szCs w:val="28"/>
          <w:highlight w:val="none"/>
        </w:rPr>
        <w:fldChar w:fldCharType="end"/>
      </w:r>
      <w:r>
        <w:rPr>
          <w:color w:val="auto"/>
          <w:sz w:val="28"/>
          <w:szCs w:val="28"/>
          <w:highlight w:val="none"/>
        </w:rPr>
        <w:fldChar w:fldCharType="end"/>
      </w:r>
    </w:p>
    <w:p w14:paraId="3C48ECC4">
      <w:pPr>
        <w:pStyle w:val="1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640"/>
        <w:textAlignment w:val="auto"/>
        <w:rPr>
          <w:color w:val="auto"/>
          <w:sz w:val="28"/>
          <w:szCs w:val="28"/>
          <w:highlight w:val="none"/>
        </w:rPr>
      </w:pPr>
      <w:r>
        <w:rPr>
          <w:color w:val="auto"/>
          <w:szCs w:val="28"/>
          <w:highlight w:val="none"/>
        </w:rPr>
        <w:fldChar w:fldCharType="end"/>
      </w:r>
      <w:bookmarkStart w:id="101" w:name="_Toc5588"/>
      <w:bookmarkStart w:id="102" w:name="_Toc1673"/>
    </w:p>
    <w:p w14:paraId="24595BED">
      <w:pPr>
        <w:pStyle w:val="37"/>
        <w:spacing w:line="400" w:lineRule="exact"/>
        <w:ind w:left="160"/>
        <w:outlineLvl w:val="0"/>
        <w:rPr>
          <w:rFonts w:ascii="Times New Roman" w:hAnsi="Times New Roman"/>
          <w:color w:val="auto"/>
          <w:sz w:val="28"/>
          <w:szCs w:val="28"/>
          <w:highlight w:val="none"/>
        </w:rPr>
        <w:sectPr>
          <w:pgSz w:w="11906" w:h="16838"/>
          <w:pgMar w:top="1440" w:right="1797" w:bottom="1440" w:left="1797" w:header="851" w:footer="992" w:gutter="0"/>
          <w:pgNumType w:start="1"/>
          <w:cols w:space="425" w:num="1"/>
          <w:docGrid w:type="lines" w:linePitch="312" w:charSpace="0"/>
        </w:sectPr>
      </w:pPr>
    </w:p>
    <w:p w14:paraId="3B6879C7">
      <w:pPr>
        <w:rPr>
          <w:rFonts w:hint="eastAsia"/>
          <w:color w:val="auto"/>
          <w:sz w:val="32"/>
          <w:szCs w:val="32"/>
          <w:highlight w:val="none"/>
        </w:rPr>
      </w:pPr>
      <w:bookmarkStart w:id="103" w:name="_Toc3386"/>
    </w:p>
    <w:p w14:paraId="747F16A6">
      <w:pPr>
        <w:pStyle w:val="37"/>
        <w:spacing w:before="312" w:beforeLines="100" w:after="312" w:afterLines="100" w:line="560" w:lineRule="exact"/>
        <w:ind w:left="159"/>
        <w:outlineLvl w:val="0"/>
        <w:rPr>
          <w:rFonts w:ascii="Times New Roman" w:hAnsi="Times New Roman"/>
          <w:b w:val="0"/>
          <w:color w:val="auto"/>
          <w:sz w:val="36"/>
          <w:szCs w:val="36"/>
          <w:highlight w:val="none"/>
        </w:rPr>
      </w:pPr>
      <w:bookmarkStart w:id="104" w:name="_Toc25150"/>
      <w:r>
        <w:rPr>
          <w:rFonts w:hint="eastAsia" w:ascii="Times New Roman" w:hAnsi="Times New Roman" w:eastAsia="方正小标宋简体"/>
          <w:b w:val="0"/>
          <w:bCs w:val="0"/>
          <w:color w:val="auto"/>
          <w:sz w:val="36"/>
          <w:szCs w:val="36"/>
          <w:highlight w:val="none"/>
        </w:rPr>
        <w:t>第一章</w:t>
      </w:r>
      <w:bookmarkEnd w:id="101"/>
      <w:bookmarkEnd w:id="102"/>
      <w:r>
        <w:rPr>
          <w:rFonts w:ascii="Times New Roman" w:hAnsi="Times New Roman" w:eastAsia="方正小标宋简体"/>
          <w:b w:val="0"/>
          <w:bCs w:val="0"/>
          <w:color w:val="auto"/>
          <w:sz w:val="36"/>
          <w:szCs w:val="36"/>
          <w:highlight w:val="none"/>
        </w:rPr>
        <w:t xml:space="preserve"> </w:t>
      </w:r>
      <w:r>
        <w:rPr>
          <w:rFonts w:hint="eastAsia" w:ascii="Times New Roman" w:hAnsi="Times New Roman" w:eastAsia="方正小标宋简体"/>
          <w:b w:val="0"/>
          <w:bCs w:val="0"/>
          <w:color w:val="auto"/>
          <w:sz w:val="36"/>
          <w:szCs w:val="36"/>
          <w:highlight w:val="none"/>
        </w:rPr>
        <w:t>发展基础</w:t>
      </w:r>
      <w:bookmarkEnd w:id="103"/>
      <w:r>
        <w:rPr>
          <w:rFonts w:hint="eastAsia" w:ascii="Times New Roman" w:hAnsi="Times New Roman" w:eastAsia="方正小标宋简体"/>
          <w:b w:val="0"/>
          <w:bCs w:val="0"/>
          <w:color w:val="auto"/>
          <w:sz w:val="36"/>
          <w:szCs w:val="36"/>
          <w:highlight w:val="none"/>
        </w:rPr>
        <w:t>和远景目标</w:t>
      </w:r>
      <w:bookmarkEnd w:id="104"/>
    </w:p>
    <w:p w14:paraId="78955E6B">
      <w:pPr>
        <w:spacing w:line="560" w:lineRule="exact"/>
        <w:ind w:firstLine="646"/>
        <w:outlineLvl w:val="1"/>
        <w:rPr>
          <w:rFonts w:eastAsia="黑体"/>
          <w:color w:val="auto"/>
          <w:highlight w:val="none"/>
        </w:rPr>
      </w:pPr>
      <w:bookmarkStart w:id="105" w:name="_Toc1267"/>
      <w:bookmarkStart w:id="106" w:name="_Toc22423"/>
      <w:bookmarkStart w:id="107" w:name="_Toc21628"/>
      <w:bookmarkStart w:id="108" w:name="_Toc23672"/>
      <w:r>
        <w:rPr>
          <w:rFonts w:hint="eastAsia" w:eastAsia="黑体"/>
          <w:color w:val="auto"/>
          <w:highlight w:val="none"/>
        </w:rPr>
        <w:t>一、</w:t>
      </w:r>
      <w:r>
        <w:rPr>
          <w:rFonts w:hint="eastAsia" w:eastAsia="黑体"/>
          <w:color w:val="auto"/>
          <w:highlight w:val="none"/>
          <w:lang w:eastAsia="zh-CN"/>
        </w:rPr>
        <w:t>“</w:t>
      </w:r>
      <w:r>
        <w:rPr>
          <w:rFonts w:hint="eastAsia" w:eastAsia="黑体"/>
          <w:color w:val="auto"/>
          <w:highlight w:val="none"/>
        </w:rPr>
        <w:t>十三五</w:t>
      </w:r>
      <w:r>
        <w:rPr>
          <w:rFonts w:hint="eastAsia" w:eastAsia="黑体"/>
          <w:color w:val="auto"/>
          <w:highlight w:val="none"/>
          <w:lang w:eastAsia="zh-CN"/>
        </w:rPr>
        <w:t>”</w:t>
      </w:r>
      <w:r>
        <w:rPr>
          <w:rFonts w:hint="eastAsia" w:eastAsia="黑体"/>
          <w:color w:val="auto"/>
          <w:highlight w:val="none"/>
        </w:rPr>
        <w:t>时期经济社会发展取得重大成就</w:t>
      </w:r>
      <w:bookmarkEnd w:id="105"/>
      <w:bookmarkEnd w:id="106"/>
      <w:bookmarkEnd w:id="107"/>
    </w:p>
    <w:p w14:paraId="02BB8C6E">
      <w:pPr>
        <w:spacing w:line="560" w:lineRule="exact"/>
        <w:ind w:firstLine="640" w:firstLineChars="200"/>
        <w:rPr>
          <w:rFonts w:eastAsia="仿宋_GB2312"/>
          <w:color w:val="auto"/>
          <w:highlight w:val="none"/>
        </w:rPr>
      </w:pPr>
      <w:r>
        <w:rPr>
          <w:rFonts w:hint="eastAsia" w:eastAsia="仿宋_GB2312"/>
          <w:color w:val="auto"/>
          <w:highlight w:val="none"/>
          <w:lang w:eastAsia="zh-CN"/>
        </w:rPr>
        <w:t>“</w:t>
      </w:r>
      <w:r>
        <w:rPr>
          <w:rFonts w:hint="eastAsia" w:eastAsia="仿宋_GB2312"/>
          <w:color w:val="auto"/>
          <w:highlight w:val="none"/>
        </w:rPr>
        <w:t>十三五</w:t>
      </w:r>
      <w:r>
        <w:rPr>
          <w:rFonts w:hint="eastAsia" w:eastAsia="仿宋_GB2312"/>
          <w:color w:val="auto"/>
          <w:highlight w:val="none"/>
          <w:lang w:eastAsia="zh-CN"/>
        </w:rPr>
        <w:t>”</w:t>
      </w:r>
      <w:r>
        <w:rPr>
          <w:rFonts w:hint="eastAsia" w:eastAsia="仿宋_GB2312"/>
          <w:color w:val="auto"/>
          <w:highlight w:val="none"/>
        </w:rPr>
        <w:t>时期是我市发展进程中极不平凡的</w:t>
      </w:r>
      <w:r>
        <w:rPr>
          <w:rFonts w:eastAsia="仿宋_GB2312"/>
          <w:color w:val="auto"/>
          <w:highlight w:val="none"/>
        </w:rPr>
        <w:t>5</w:t>
      </w:r>
      <w:r>
        <w:rPr>
          <w:rFonts w:hint="eastAsia" w:eastAsia="仿宋_GB2312"/>
          <w:color w:val="auto"/>
          <w:highlight w:val="none"/>
        </w:rPr>
        <w:t>年。面对外部发展环境复杂、各种困难矛盾叠加、改革发展稳定任务艰巨繁重等严峻考验，面对百年不遇的新冠肺炎疫情冲击，在党中央、国务院和省委、省政府的正确领导下，市委、市政府带领全市人民，坚持以习近平新时代中国特色社会主义思想为指导，不忘初心、牢记使命，统筹推进</w:t>
      </w:r>
      <w:r>
        <w:rPr>
          <w:rFonts w:hint="eastAsia" w:eastAsia="仿宋_GB2312"/>
          <w:color w:val="auto"/>
          <w:highlight w:val="none"/>
          <w:lang w:eastAsia="zh-CN"/>
        </w:rPr>
        <w:t>“</w:t>
      </w:r>
      <w:r>
        <w:rPr>
          <w:rFonts w:hint="eastAsia" w:eastAsia="仿宋_GB2312"/>
          <w:color w:val="auto"/>
          <w:highlight w:val="none"/>
        </w:rPr>
        <w:t>五位一体</w:t>
      </w:r>
      <w:r>
        <w:rPr>
          <w:rFonts w:hint="eastAsia" w:eastAsia="仿宋_GB2312"/>
          <w:color w:val="auto"/>
          <w:highlight w:val="none"/>
          <w:lang w:eastAsia="zh-CN"/>
        </w:rPr>
        <w:t>”</w:t>
      </w:r>
      <w:r>
        <w:rPr>
          <w:rFonts w:hint="eastAsia" w:eastAsia="仿宋_GB2312"/>
          <w:color w:val="auto"/>
          <w:highlight w:val="none"/>
        </w:rPr>
        <w:t>总体布局，协调推进</w:t>
      </w:r>
      <w:r>
        <w:rPr>
          <w:rFonts w:hint="eastAsia" w:eastAsia="仿宋_GB2312"/>
          <w:color w:val="auto"/>
          <w:highlight w:val="none"/>
          <w:lang w:eastAsia="zh-CN"/>
        </w:rPr>
        <w:t>“</w:t>
      </w:r>
      <w:r>
        <w:rPr>
          <w:rFonts w:hint="eastAsia" w:eastAsia="仿宋_GB2312"/>
          <w:color w:val="auto"/>
          <w:highlight w:val="none"/>
        </w:rPr>
        <w:t>四个全面</w:t>
      </w:r>
      <w:r>
        <w:rPr>
          <w:rFonts w:hint="eastAsia" w:eastAsia="仿宋_GB2312"/>
          <w:color w:val="auto"/>
          <w:highlight w:val="none"/>
          <w:lang w:eastAsia="zh-CN"/>
        </w:rPr>
        <w:t>”</w:t>
      </w:r>
      <w:r>
        <w:rPr>
          <w:rFonts w:hint="eastAsia" w:eastAsia="仿宋_GB2312"/>
          <w:color w:val="auto"/>
          <w:highlight w:val="none"/>
        </w:rPr>
        <w:t>战略布局，坚持稳中求进工作总基调，坚定不移贯彻新发展理念，扎实推进创新发展、绿色发展、高质量发展，在把握机遇中笃定前行，在攻坚克难中拼搏竞进，干成了一系列打基础利长远的大事，解决了一大批多年想办未办的难事，汇聚了持续推动城市发展的优势，脱贫攻坚战、全面建成小康社会圆满收官，</w:t>
      </w:r>
      <w:r>
        <w:rPr>
          <w:rFonts w:hint="eastAsia" w:eastAsia="仿宋_GB2312"/>
          <w:color w:val="auto"/>
          <w:highlight w:val="none"/>
          <w:lang w:eastAsia="zh-CN"/>
        </w:rPr>
        <w:t>“</w:t>
      </w:r>
      <w:r>
        <w:rPr>
          <w:rFonts w:hint="eastAsia" w:eastAsia="仿宋_GB2312"/>
          <w:color w:val="auto"/>
          <w:highlight w:val="none"/>
        </w:rPr>
        <w:t>十三五</w:t>
      </w:r>
      <w:r>
        <w:rPr>
          <w:rFonts w:hint="eastAsia" w:eastAsia="仿宋_GB2312"/>
          <w:color w:val="auto"/>
          <w:highlight w:val="none"/>
          <w:lang w:eastAsia="zh-CN"/>
        </w:rPr>
        <w:t>”</w:t>
      </w:r>
      <w:r>
        <w:rPr>
          <w:rFonts w:hint="eastAsia" w:eastAsia="仿宋_GB2312"/>
          <w:color w:val="auto"/>
          <w:highlight w:val="none"/>
        </w:rPr>
        <w:t>规划较好完成，交出了一份厚重提气、令人鼓舞的</w:t>
      </w:r>
      <w:r>
        <w:rPr>
          <w:rFonts w:hint="eastAsia" w:eastAsia="仿宋_GB2312"/>
          <w:color w:val="auto"/>
          <w:highlight w:val="none"/>
          <w:lang w:eastAsia="zh-CN"/>
        </w:rPr>
        <w:t>“</w:t>
      </w:r>
      <w:r>
        <w:rPr>
          <w:rFonts w:hint="eastAsia" w:eastAsia="仿宋_GB2312"/>
          <w:color w:val="auto"/>
          <w:highlight w:val="none"/>
        </w:rPr>
        <w:t>秦皇岛答卷</w:t>
      </w:r>
      <w:r>
        <w:rPr>
          <w:rFonts w:hint="eastAsia" w:eastAsia="仿宋_GB2312"/>
          <w:color w:val="auto"/>
          <w:highlight w:val="none"/>
          <w:lang w:eastAsia="zh-CN"/>
        </w:rPr>
        <w:t>”</w:t>
      </w:r>
      <w:r>
        <w:rPr>
          <w:rFonts w:hint="eastAsia" w:eastAsia="仿宋_GB2312"/>
          <w:color w:val="auto"/>
          <w:highlight w:val="none"/>
        </w:rPr>
        <w:t>。</w:t>
      </w:r>
    </w:p>
    <w:p w14:paraId="325DA084">
      <w:pPr>
        <w:spacing w:line="560" w:lineRule="exact"/>
        <w:ind w:firstLine="640" w:firstLineChars="200"/>
        <w:outlineLvl w:val="2"/>
        <w:rPr>
          <w:rFonts w:eastAsia="楷体"/>
          <w:b w:val="0"/>
          <w:bCs w:val="0"/>
          <w:color w:val="auto"/>
          <w:highlight w:val="none"/>
        </w:rPr>
      </w:pPr>
      <w:bookmarkStart w:id="109" w:name="_Toc6296"/>
      <w:bookmarkStart w:id="110" w:name="_Toc32226"/>
      <w:bookmarkStart w:id="111" w:name="_Toc10379"/>
      <w:r>
        <w:rPr>
          <w:rFonts w:hint="eastAsia" w:eastAsia="楷体"/>
          <w:b w:val="0"/>
          <w:bCs w:val="0"/>
          <w:color w:val="auto"/>
          <w:highlight w:val="none"/>
        </w:rPr>
        <w:t>（一）</w:t>
      </w:r>
      <w:bookmarkEnd w:id="109"/>
      <w:bookmarkEnd w:id="110"/>
      <w:r>
        <w:rPr>
          <w:rFonts w:hint="eastAsia" w:eastAsia="楷体"/>
          <w:b w:val="0"/>
          <w:bCs w:val="0"/>
          <w:color w:val="auto"/>
          <w:highlight w:val="none"/>
          <w:lang w:val="zh-CN"/>
        </w:rPr>
        <w:t>经济发展实现提速提质</w:t>
      </w:r>
      <w:bookmarkEnd w:id="111"/>
    </w:p>
    <w:p w14:paraId="0E66631A">
      <w:pPr>
        <w:widowControl/>
        <w:spacing w:line="560" w:lineRule="exact"/>
        <w:ind w:firstLine="640" w:firstLineChars="200"/>
        <w:rPr>
          <w:rFonts w:eastAsia="仿宋_GB2312"/>
          <w:color w:val="auto"/>
          <w:highlight w:val="none"/>
        </w:rPr>
      </w:pPr>
      <w:r>
        <w:rPr>
          <w:rFonts w:hint="eastAsia" w:eastAsia="仿宋_GB2312"/>
          <w:color w:val="auto"/>
          <w:highlight w:val="none"/>
        </w:rPr>
        <w:t>紧紧抓住京津冀协同发展、环渤海地区合作发展、河北沿海经济带高质量发展等重大战略机遇，牢牢把握好</w:t>
      </w:r>
      <w:r>
        <w:rPr>
          <w:rFonts w:hint="eastAsia" w:eastAsia="仿宋_GB2312"/>
          <w:color w:val="auto"/>
          <w:highlight w:val="none"/>
          <w:lang w:eastAsia="zh-CN"/>
        </w:rPr>
        <w:t>“</w:t>
      </w:r>
      <w:r>
        <w:rPr>
          <w:rFonts w:hint="eastAsia" w:eastAsia="仿宋_GB2312"/>
          <w:color w:val="auto"/>
          <w:highlight w:val="none"/>
        </w:rPr>
        <w:t>稳进好准度</w:t>
      </w:r>
      <w:r>
        <w:rPr>
          <w:rFonts w:hint="eastAsia" w:eastAsia="仿宋_GB2312"/>
          <w:color w:val="auto"/>
          <w:highlight w:val="none"/>
          <w:lang w:eastAsia="zh-CN"/>
        </w:rPr>
        <w:t>”</w:t>
      </w:r>
      <w:r>
        <w:rPr>
          <w:rFonts w:hint="eastAsia" w:eastAsia="仿宋_GB2312"/>
          <w:color w:val="auto"/>
          <w:highlight w:val="none"/>
        </w:rPr>
        <w:t>工作要求，统筹推进疫情防控和经济社会发展，着力稳增长、促改革、调结构、惠民生、防风险、保稳定，经济社会发展呈现提质增效趋势特征，高质量发展取得明显成效。</w:t>
      </w:r>
      <w:r>
        <w:rPr>
          <w:rFonts w:hint="eastAsia" w:eastAsia="仿宋_GB2312"/>
          <w:b/>
          <w:color w:val="auto"/>
          <w:highlight w:val="none"/>
        </w:rPr>
        <w:t>综合实力实现新跃升，</w:t>
      </w:r>
      <w:r>
        <w:rPr>
          <w:rFonts w:hint="eastAsia" w:eastAsia="仿宋_GB2312"/>
          <w:color w:val="auto"/>
          <w:highlight w:val="none"/>
        </w:rPr>
        <w:t>主动适应经济发展新常态，统筹生态环境保护与经济发展，努力克服化解过剩产能结构调整阵痛影响，在确保</w:t>
      </w:r>
      <w:r>
        <w:rPr>
          <w:rFonts w:hint="eastAsia" w:eastAsia="仿宋_GB2312"/>
          <w:color w:val="auto"/>
          <w:highlight w:val="none"/>
          <w:lang w:eastAsia="zh-CN"/>
        </w:rPr>
        <w:t>“</w:t>
      </w:r>
      <w:r>
        <w:rPr>
          <w:rFonts w:hint="eastAsia" w:eastAsia="仿宋_GB2312"/>
          <w:color w:val="auto"/>
          <w:highlight w:val="none"/>
        </w:rPr>
        <w:t>稳</w:t>
      </w:r>
      <w:r>
        <w:rPr>
          <w:rFonts w:hint="eastAsia" w:eastAsia="仿宋_GB2312"/>
          <w:color w:val="auto"/>
          <w:highlight w:val="none"/>
          <w:lang w:eastAsia="zh-CN"/>
        </w:rPr>
        <w:t>”</w:t>
      </w:r>
      <w:r>
        <w:rPr>
          <w:rFonts w:hint="eastAsia" w:eastAsia="仿宋_GB2312"/>
          <w:color w:val="auto"/>
          <w:highlight w:val="none"/>
        </w:rPr>
        <w:t>的同时更加积极主动求</w:t>
      </w:r>
      <w:r>
        <w:rPr>
          <w:rFonts w:hint="eastAsia" w:eastAsia="仿宋_GB2312"/>
          <w:color w:val="auto"/>
          <w:highlight w:val="none"/>
          <w:lang w:eastAsia="zh-CN"/>
        </w:rPr>
        <w:t>“</w:t>
      </w:r>
      <w:r>
        <w:rPr>
          <w:rFonts w:hint="eastAsia" w:eastAsia="仿宋_GB2312"/>
          <w:color w:val="auto"/>
          <w:highlight w:val="none"/>
        </w:rPr>
        <w:t>进</w:t>
      </w:r>
      <w:r>
        <w:rPr>
          <w:rFonts w:hint="eastAsia" w:eastAsia="仿宋_GB2312"/>
          <w:color w:val="auto"/>
          <w:highlight w:val="none"/>
          <w:lang w:eastAsia="zh-CN"/>
        </w:rPr>
        <w:t>”</w:t>
      </w:r>
      <w:r>
        <w:rPr>
          <w:rFonts w:hint="eastAsia" w:eastAsia="仿宋_GB2312"/>
          <w:color w:val="auto"/>
          <w:highlight w:val="none"/>
        </w:rPr>
        <w:t>，经济发展持续保持较高增速</w:t>
      </w:r>
      <w:r>
        <w:rPr>
          <w:rFonts w:hint="eastAsia" w:eastAsia="仿宋_GB2312"/>
          <w:color w:val="auto"/>
          <w:highlight w:val="none"/>
          <w:lang w:eastAsia="zh-CN"/>
        </w:rPr>
        <w:t>。</w:t>
      </w:r>
      <w:r>
        <w:rPr>
          <w:rFonts w:hint="eastAsia" w:eastAsia="仿宋_GB2312"/>
          <w:color w:val="auto"/>
          <w:highlight w:val="none"/>
        </w:rPr>
        <w:t>生产总值由</w:t>
      </w:r>
      <w:r>
        <w:rPr>
          <w:rFonts w:eastAsia="仿宋_GB2312"/>
          <w:color w:val="auto"/>
          <w:highlight w:val="none"/>
        </w:rPr>
        <w:t>2015</w:t>
      </w:r>
      <w:r>
        <w:rPr>
          <w:rFonts w:hint="eastAsia" w:eastAsia="仿宋_GB2312"/>
          <w:color w:val="auto"/>
          <w:highlight w:val="none"/>
        </w:rPr>
        <w:t>年的</w:t>
      </w:r>
      <w:r>
        <w:rPr>
          <w:rFonts w:eastAsia="仿宋_GB2312"/>
          <w:color w:val="auto"/>
          <w:highlight w:val="none"/>
        </w:rPr>
        <w:t>1192.6</w:t>
      </w:r>
      <w:r>
        <w:rPr>
          <w:rFonts w:hint="eastAsia" w:eastAsia="仿宋_GB2312"/>
          <w:color w:val="auto"/>
          <w:highlight w:val="none"/>
        </w:rPr>
        <w:t>亿元跃升至</w:t>
      </w:r>
      <w:r>
        <w:rPr>
          <w:rFonts w:eastAsia="仿宋_GB2312"/>
          <w:color w:val="auto"/>
          <w:highlight w:val="none"/>
        </w:rPr>
        <w:t>2020</w:t>
      </w:r>
      <w:r>
        <w:rPr>
          <w:rFonts w:hint="eastAsia" w:eastAsia="仿宋_GB2312"/>
          <w:color w:val="auto"/>
          <w:highlight w:val="none"/>
        </w:rPr>
        <w:t>年</w:t>
      </w:r>
      <w:r>
        <w:rPr>
          <w:rFonts w:eastAsia="仿宋_GB2312"/>
          <w:color w:val="auto"/>
          <w:highlight w:val="none"/>
        </w:rPr>
        <w:t>1685</w:t>
      </w:r>
      <w:r>
        <w:rPr>
          <w:rFonts w:hint="eastAsia" w:eastAsia="仿宋_GB2312"/>
          <w:color w:val="auto"/>
          <w:highlight w:val="none"/>
          <w:lang w:val="en-US" w:eastAsia="zh-CN"/>
        </w:rPr>
        <w:t>.80</w:t>
      </w:r>
      <w:r>
        <w:rPr>
          <w:rFonts w:hint="eastAsia" w:eastAsia="仿宋_GB2312"/>
          <w:color w:val="auto"/>
          <w:highlight w:val="none"/>
        </w:rPr>
        <w:t>亿元，</w:t>
      </w:r>
      <w:r>
        <w:rPr>
          <w:rFonts w:hint="eastAsia" w:eastAsia="仿宋_GB2312"/>
          <w:color w:val="auto"/>
          <w:highlight w:val="none"/>
          <w:lang w:eastAsia="zh-CN"/>
        </w:rPr>
        <w:t>总量规模</w:t>
      </w:r>
      <w:r>
        <w:rPr>
          <w:rFonts w:hint="eastAsia" w:eastAsia="仿宋_GB2312"/>
          <w:color w:val="auto"/>
          <w:highlight w:val="none"/>
        </w:rPr>
        <w:t>在全省设区市排名前进三个位次，年均增速达到</w:t>
      </w:r>
      <w:r>
        <w:rPr>
          <w:rFonts w:eastAsia="仿宋_GB2312"/>
          <w:color w:val="auto"/>
          <w:highlight w:val="none"/>
        </w:rPr>
        <w:t>6.5%</w:t>
      </w:r>
      <w:r>
        <w:rPr>
          <w:rFonts w:hint="eastAsia" w:eastAsia="仿宋_GB2312"/>
          <w:color w:val="auto"/>
          <w:highlight w:val="none"/>
          <w:lang w:eastAsia="zh-CN"/>
        </w:rPr>
        <w:t>，实现比</w:t>
      </w:r>
      <w:r>
        <w:rPr>
          <w:rFonts w:hint="eastAsia" w:eastAsia="仿宋_GB2312"/>
          <w:color w:val="auto"/>
          <w:highlight w:val="none"/>
          <w:lang w:val="en-US" w:eastAsia="zh-CN"/>
        </w:rPr>
        <w:t>2010年翻一番目标。人均地区生产总值由2015年的3.88万元提高到2020年的5.34万元，位居全省第4位</w:t>
      </w:r>
      <w:r>
        <w:rPr>
          <w:rFonts w:hint="eastAsia" w:eastAsia="仿宋_GB2312"/>
          <w:color w:val="auto"/>
          <w:highlight w:val="none"/>
          <w:lang w:eastAsia="zh-CN"/>
        </w:rPr>
        <w:t>。</w:t>
      </w:r>
      <w:r>
        <w:rPr>
          <w:rFonts w:hint="eastAsia" w:eastAsia="仿宋_GB2312"/>
          <w:color w:val="auto"/>
          <w:highlight w:val="none"/>
        </w:rPr>
        <w:t>规模以上工业总量占全省比重由</w:t>
      </w:r>
      <w:r>
        <w:rPr>
          <w:rFonts w:hint="eastAsia" w:eastAsia="仿宋_GB2312"/>
          <w:color w:val="auto"/>
          <w:highlight w:val="none"/>
          <w:lang w:eastAsia="zh-CN"/>
        </w:rPr>
        <w:t>“</w:t>
      </w:r>
      <w:r>
        <w:rPr>
          <w:rFonts w:hint="eastAsia" w:eastAsia="仿宋_GB2312"/>
          <w:color w:val="auto"/>
          <w:highlight w:val="none"/>
        </w:rPr>
        <w:t>十二五</w:t>
      </w:r>
      <w:r>
        <w:rPr>
          <w:rFonts w:hint="eastAsia" w:eastAsia="仿宋_GB2312"/>
          <w:color w:val="auto"/>
          <w:highlight w:val="none"/>
          <w:lang w:eastAsia="zh-CN"/>
        </w:rPr>
        <w:t>”</w:t>
      </w:r>
      <w:r>
        <w:rPr>
          <w:rFonts w:hint="eastAsia" w:eastAsia="仿宋_GB2312"/>
          <w:color w:val="auto"/>
          <w:highlight w:val="none"/>
        </w:rPr>
        <w:t>末的</w:t>
      </w:r>
      <w:r>
        <w:rPr>
          <w:rFonts w:eastAsia="仿宋_GB2312"/>
          <w:color w:val="auto"/>
          <w:highlight w:val="none"/>
        </w:rPr>
        <w:t>3.2%</w:t>
      </w:r>
      <w:r>
        <w:rPr>
          <w:rFonts w:hint="eastAsia" w:eastAsia="仿宋_GB2312"/>
          <w:color w:val="auto"/>
          <w:highlight w:val="none"/>
        </w:rPr>
        <w:t>提高到</w:t>
      </w:r>
      <w:r>
        <w:rPr>
          <w:rFonts w:eastAsia="仿宋_GB2312"/>
          <w:color w:val="auto"/>
          <w:highlight w:val="none"/>
        </w:rPr>
        <w:t>4.1%</w:t>
      </w:r>
      <w:r>
        <w:rPr>
          <w:rFonts w:hint="eastAsia" w:eastAsia="仿宋_GB2312"/>
          <w:color w:val="auto"/>
          <w:highlight w:val="none"/>
        </w:rPr>
        <w:t>。</w:t>
      </w:r>
      <w:r>
        <w:rPr>
          <w:rFonts w:hint="eastAsia" w:eastAsia="仿宋_GB2312"/>
          <w:b/>
          <w:color w:val="auto"/>
          <w:highlight w:val="none"/>
        </w:rPr>
        <w:t>质量效益实现新改善，</w:t>
      </w:r>
      <w:r>
        <w:rPr>
          <w:rFonts w:hint="eastAsia" w:eastAsia="仿宋_GB2312"/>
          <w:color w:val="auto"/>
          <w:highlight w:val="none"/>
        </w:rPr>
        <w:t>规上工业企业实现利润由</w:t>
      </w:r>
      <w:r>
        <w:rPr>
          <w:rFonts w:eastAsia="仿宋_GB2312"/>
          <w:color w:val="auto"/>
          <w:highlight w:val="none"/>
        </w:rPr>
        <w:t>2015</w:t>
      </w:r>
      <w:r>
        <w:rPr>
          <w:rFonts w:hint="eastAsia" w:eastAsia="仿宋_GB2312"/>
          <w:color w:val="auto"/>
          <w:highlight w:val="none"/>
        </w:rPr>
        <w:t>年的</w:t>
      </w:r>
      <w:r>
        <w:rPr>
          <w:rFonts w:eastAsia="仿宋_GB2312"/>
          <w:color w:val="auto"/>
          <w:highlight w:val="none"/>
        </w:rPr>
        <w:t>19.24</w:t>
      </w:r>
      <w:r>
        <w:rPr>
          <w:rFonts w:hint="eastAsia" w:eastAsia="仿宋_GB2312"/>
          <w:color w:val="auto"/>
          <w:highlight w:val="none"/>
        </w:rPr>
        <w:t>亿元大幅跃升至</w:t>
      </w:r>
      <w:r>
        <w:rPr>
          <w:rFonts w:eastAsia="仿宋_GB2312"/>
          <w:color w:val="auto"/>
          <w:highlight w:val="none"/>
        </w:rPr>
        <w:t>2020</w:t>
      </w:r>
      <w:r>
        <w:rPr>
          <w:rFonts w:hint="eastAsia" w:eastAsia="仿宋_GB2312"/>
          <w:color w:val="auto"/>
          <w:highlight w:val="none"/>
        </w:rPr>
        <w:t>年的</w:t>
      </w:r>
      <w:r>
        <w:rPr>
          <w:rFonts w:hint="eastAsia" w:eastAsia="仿宋_GB2312"/>
          <w:color w:val="auto"/>
          <w:highlight w:val="none"/>
          <w:lang w:val="en-US" w:eastAsia="zh-CN"/>
        </w:rPr>
        <w:t>173.18</w:t>
      </w:r>
      <w:r>
        <w:rPr>
          <w:rFonts w:hint="eastAsia" w:eastAsia="仿宋_GB2312"/>
          <w:color w:val="auto"/>
          <w:highlight w:val="none"/>
        </w:rPr>
        <w:t>亿元，工业营业收入利润率</w:t>
      </w:r>
      <w:r>
        <w:rPr>
          <w:rFonts w:hint="eastAsia" w:eastAsia="仿宋_GB2312"/>
          <w:color w:val="auto"/>
          <w:kern w:val="0"/>
          <w:highlight w:val="none"/>
        </w:rPr>
        <w:t>达到</w:t>
      </w:r>
      <w:r>
        <w:rPr>
          <w:rFonts w:hint="eastAsia" w:eastAsia="仿宋_GB2312"/>
          <w:color w:val="auto"/>
          <w:kern w:val="0"/>
          <w:highlight w:val="none"/>
          <w:lang w:val="en-US" w:eastAsia="zh-CN"/>
        </w:rPr>
        <w:t>8</w:t>
      </w:r>
      <w:r>
        <w:rPr>
          <w:rFonts w:eastAsia="仿宋_GB2312"/>
          <w:color w:val="auto"/>
          <w:kern w:val="0"/>
          <w:highlight w:val="none"/>
        </w:rPr>
        <w:t>%</w:t>
      </w:r>
      <w:r>
        <w:rPr>
          <w:rFonts w:hint="eastAsia" w:eastAsia="仿宋_GB2312"/>
          <w:color w:val="auto"/>
          <w:kern w:val="0"/>
          <w:highlight w:val="none"/>
        </w:rPr>
        <w:t>，比</w:t>
      </w:r>
      <w:r>
        <w:rPr>
          <w:rFonts w:eastAsia="仿宋_GB2312"/>
          <w:color w:val="auto"/>
          <w:kern w:val="0"/>
          <w:highlight w:val="none"/>
        </w:rPr>
        <w:t>2015</w:t>
      </w:r>
      <w:r>
        <w:rPr>
          <w:rFonts w:hint="eastAsia" w:eastAsia="仿宋_GB2312"/>
          <w:color w:val="auto"/>
          <w:kern w:val="0"/>
          <w:highlight w:val="none"/>
        </w:rPr>
        <w:t>年提高</w:t>
      </w:r>
      <w:r>
        <w:rPr>
          <w:rFonts w:hint="eastAsia" w:eastAsia="仿宋_GB2312"/>
          <w:color w:val="auto"/>
          <w:kern w:val="0"/>
          <w:highlight w:val="none"/>
          <w:lang w:val="en-US" w:eastAsia="zh-CN"/>
        </w:rPr>
        <w:t>6.7</w:t>
      </w:r>
      <w:r>
        <w:rPr>
          <w:rFonts w:hint="eastAsia" w:eastAsia="仿宋_GB2312"/>
          <w:color w:val="auto"/>
          <w:kern w:val="0"/>
          <w:highlight w:val="none"/>
        </w:rPr>
        <w:t>个百分点，</w:t>
      </w:r>
      <w:r>
        <w:rPr>
          <w:rFonts w:hint="eastAsia" w:eastAsia="仿宋_GB2312"/>
          <w:color w:val="auto"/>
          <w:highlight w:val="none"/>
        </w:rPr>
        <w:t>户均实现利润</w:t>
      </w:r>
      <w:r>
        <w:rPr>
          <w:rFonts w:hint="eastAsia" w:eastAsia="仿宋_GB2312"/>
          <w:color w:val="auto"/>
          <w:highlight w:val="none"/>
          <w:lang w:val="en-US" w:eastAsia="zh-CN"/>
        </w:rPr>
        <w:t>4297</w:t>
      </w:r>
      <w:r>
        <w:rPr>
          <w:rFonts w:hint="eastAsia" w:eastAsia="仿宋_GB2312"/>
          <w:color w:val="auto"/>
          <w:highlight w:val="none"/>
        </w:rPr>
        <w:t>万元，是</w:t>
      </w:r>
      <w:r>
        <w:rPr>
          <w:rFonts w:hint="eastAsia" w:eastAsia="仿宋_GB2312"/>
          <w:color w:val="auto"/>
          <w:highlight w:val="none"/>
          <w:lang w:eastAsia="zh-CN"/>
        </w:rPr>
        <w:t>“</w:t>
      </w:r>
      <w:r>
        <w:rPr>
          <w:rFonts w:hint="eastAsia" w:eastAsia="仿宋_GB2312"/>
          <w:color w:val="auto"/>
          <w:highlight w:val="none"/>
        </w:rPr>
        <w:t>十二五</w:t>
      </w:r>
      <w:r>
        <w:rPr>
          <w:rFonts w:hint="eastAsia" w:eastAsia="仿宋_GB2312"/>
          <w:color w:val="auto"/>
          <w:highlight w:val="none"/>
          <w:lang w:eastAsia="zh-CN"/>
        </w:rPr>
        <w:t>”</w:t>
      </w:r>
      <w:r>
        <w:rPr>
          <w:rFonts w:hint="eastAsia" w:eastAsia="仿宋_GB2312"/>
          <w:color w:val="auto"/>
          <w:highlight w:val="none"/>
        </w:rPr>
        <w:t>末的</w:t>
      </w:r>
      <w:r>
        <w:rPr>
          <w:rFonts w:hint="eastAsia" w:eastAsia="仿宋_GB2312"/>
          <w:color w:val="auto"/>
          <w:highlight w:val="none"/>
          <w:lang w:val="en-US" w:eastAsia="zh-CN"/>
        </w:rPr>
        <w:t>8.8</w:t>
      </w:r>
      <w:r>
        <w:rPr>
          <w:rFonts w:hint="eastAsia" w:eastAsia="仿宋_GB2312"/>
          <w:color w:val="auto"/>
          <w:highlight w:val="none"/>
        </w:rPr>
        <w:t>倍；</w:t>
      </w:r>
      <w:r>
        <w:rPr>
          <w:rFonts w:eastAsia="仿宋_GB2312"/>
          <w:color w:val="auto"/>
          <w:highlight w:val="none"/>
        </w:rPr>
        <w:t>2020</w:t>
      </w:r>
      <w:r>
        <w:rPr>
          <w:rFonts w:hint="eastAsia" w:eastAsia="仿宋_GB2312"/>
          <w:color w:val="auto"/>
          <w:highlight w:val="none"/>
        </w:rPr>
        <w:t>年全部财政收入</w:t>
      </w:r>
      <w:r>
        <w:rPr>
          <w:rFonts w:eastAsia="仿宋_GB2312"/>
          <w:color w:val="auto"/>
          <w:highlight w:val="none"/>
        </w:rPr>
        <w:t>279.</w:t>
      </w:r>
      <w:r>
        <w:rPr>
          <w:rFonts w:hint="eastAsia" w:eastAsia="仿宋_GB2312"/>
          <w:color w:val="auto"/>
          <w:highlight w:val="none"/>
          <w:lang w:val="en-US" w:eastAsia="zh-CN"/>
        </w:rPr>
        <w:t>76</w:t>
      </w:r>
      <w:r>
        <w:rPr>
          <w:rFonts w:hint="eastAsia" w:eastAsia="仿宋_GB2312"/>
          <w:color w:val="auto"/>
          <w:highlight w:val="none"/>
        </w:rPr>
        <w:t>亿元，比</w:t>
      </w:r>
      <w:r>
        <w:rPr>
          <w:rFonts w:eastAsia="仿宋_GB2312"/>
          <w:color w:val="auto"/>
          <w:highlight w:val="none"/>
        </w:rPr>
        <w:t>2015</w:t>
      </w:r>
      <w:r>
        <w:rPr>
          <w:rFonts w:hint="eastAsia" w:eastAsia="仿宋_GB2312"/>
          <w:color w:val="auto"/>
          <w:highlight w:val="none"/>
        </w:rPr>
        <w:t>年增长</w:t>
      </w:r>
      <w:r>
        <w:rPr>
          <w:rFonts w:eastAsia="仿宋_GB2312"/>
          <w:color w:val="auto"/>
          <w:highlight w:val="none"/>
        </w:rPr>
        <w:t>36%</w:t>
      </w:r>
      <w:r>
        <w:rPr>
          <w:rFonts w:hint="eastAsia" w:eastAsia="仿宋_GB2312"/>
          <w:color w:val="auto"/>
          <w:highlight w:val="none"/>
        </w:rPr>
        <w:t>，年均增长</w:t>
      </w:r>
      <w:r>
        <w:rPr>
          <w:rFonts w:eastAsia="仿宋_GB2312"/>
          <w:color w:val="auto"/>
          <w:highlight w:val="none"/>
        </w:rPr>
        <w:t>6.3%</w:t>
      </w:r>
      <w:r>
        <w:rPr>
          <w:rFonts w:hint="eastAsia" w:eastAsia="仿宋_GB2312"/>
          <w:color w:val="auto"/>
          <w:highlight w:val="none"/>
          <w:lang w:eastAsia="zh-CN"/>
        </w:rPr>
        <w:t>。</w:t>
      </w:r>
      <w:r>
        <w:rPr>
          <w:rFonts w:hint="eastAsia" w:eastAsia="仿宋_GB2312"/>
          <w:color w:val="auto"/>
          <w:highlight w:val="none"/>
        </w:rPr>
        <w:t>主持或参与</w:t>
      </w:r>
      <w:r>
        <w:rPr>
          <w:rFonts w:eastAsia="仿宋_GB2312"/>
          <w:color w:val="auto"/>
          <w:highlight w:val="none"/>
        </w:rPr>
        <w:t>42</w:t>
      </w:r>
      <w:r>
        <w:rPr>
          <w:rFonts w:hint="eastAsia" w:eastAsia="仿宋_GB2312"/>
          <w:color w:val="auto"/>
          <w:highlight w:val="none"/>
        </w:rPr>
        <w:t>项国家、行业、团体、省等标准制修订，</w:t>
      </w:r>
      <w:r>
        <w:rPr>
          <w:rFonts w:eastAsia="仿宋_GB2312"/>
          <w:color w:val="auto"/>
          <w:highlight w:val="none"/>
        </w:rPr>
        <w:t>8</w:t>
      </w:r>
      <w:r>
        <w:rPr>
          <w:rFonts w:hint="eastAsia" w:eastAsia="仿宋_GB2312"/>
          <w:color w:val="auto"/>
          <w:highlight w:val="none"/>
        </w:rPr>
        <w:t>家企业获得省政府质量奖，</w:t>
      </w:r>
      <w:r>
        <w:rPr>
          <w:rFonts w:eastAsia="仿宋_GB2312"/>
          <w:color w:val="auto"/>
          <w:highlight w:val="none"/>
        </w:rPr>
        <w:t>16</w:t>
      </w:r>
      <w:r>
        <w:rPr>
          <w:rFonts w:hint="eastAsia" w:eastAsia="仿宋_GB2312"/>
          <w:color w:val="auto"/>
          <w:highlight w:val="none"/>
        </w:rPr>
        <w:t>家企业获得市政府质量奖，全市有效注册商标</w:t>
      </w:r>
      <w:r>
        <w:rPr>
          <w:rFonts w:eastAsia="仿宋_GB2312"/>
          <w:color w:val="auto"/>
          <w:highlight w:val="none"/>
        </w:rPr>
        <w:t>3.11</w:t>
      </w:r>
      <w:r>
        <w:rPr>
          <w:rFonts w:hint="eastAsia" w:eastAsia="仿宋_GB2312"/>
          <w:color w:val="auto"/>
          <w:highlight w:val="none"/>
        </w:rPr>
        <w:t>万件，驰名商标达到</w:t>
      </w:r>
      <w:r>
        <w:rPr>
          <w:rFonts w:eastAsia="仿宋_GB2312"/>
          <w:color w:val="auto"/>
          <w:highlight w:val="none"/>
        </w:rPr>
        <w:t>12</w:t>
      </w:r>
      <w:r>
        <w:rPr>
          <w:rFonts w:hint="eastAsia" w:eastAsia="仿宋_GB2312"/>
          <w:color w:val="auto"/>
          <w:highlight w:val="none"/>
        </w:rPr>
        <w:t>件，地理标志商标</w:t>
      </w:r>
      <w:r>
        <w:rPr>
          <w:rFonts w:eastAsia="仿宋_GB2312"/>
          <w:color w:val="auto"/>
          <w:highlight w:val="none"/>
        </w:rPr>
        <w:t>6</w:t>
      </w:r>
      <w:r>
        <w:rPr>
          <w:rFonts w:hint="eastAsia" w:eastAsia="仿宋_GB2312"/>
          <w:color w:val="auto"/>
          <w:highlight w:val="none"/>
        </w:rPr>
        <w:t>件</w:t>
      </w:r>
      <w:r>
        <w:rPr>
          <w:rFonts w:hint="eastAsia" w:eastAsia="仿宋_GB2312"/>
          <w:color w:val="auto"/>
          <w:highlight w:val="none"/>
          <w:lang w:eastAsia="zh-CN"/>
        </w:rPr>
        <w:t>，</w:t>
      </w:r>
      <w:r>
        <w:rPr>
          <w:rFonts w:hint="eastAsia" w:eastAsia="仿宋_GB2312"/>
          <w:color w:val="auto"/>
          <w:highlight w:val="none"/>
        </w:rPr>
        <w:t>成为京津冀区域首个全国质量强市示范城市。</w:t>
      </w:r>
      <w:r>
        <w:rPr>
          <w:rFonts w:hint="eastAsia" w:eastAsia="仿宋_GB2312"/>
          <w:b/>
          <w:color w:val="auto"/>
          <w:highlight w:val="none"/>
        </w:rPr>
        <w:t>居民收入水平实现新提高，</w:t>
      </w:r>
      <w:r>
        <w:rPr>
          <w:rFonts w:hint="eastAsia" w:eastAsia="仿宋_GB2312"/>
          <w:color w:val="auto"/>
          <w:highlight w:val="none"/>
          <w:lang w:val="en-US" w:eastAsia="zh-CN"/>
        </w:rPr>
        <w:t>2020</w:t>
      </w:r>
      <w:r>
        <w:rPr>
          <w:rFonts w:hint="eastAsia" w:eastAsia="仿宋_GB2312"/>
          <w:color w:val="auto"/>
          <w:highlight w:val="none"/>
        </w:rPr>
        <w:t>年城镇居民可支配收入</w:t>
      </w:r>
      <w:r>
        <w:rPr>
          <w:rFonts w:hint="eastAsia" w:eastAsia="仿宋_GB2312"/>
          <w:color w:val="auto"/>
          <w:highlight w:val="none"/>
          <w:lang w:val="en-US" w:eastAsia="zh-CN"/>
        </w:rPr>
        <w:t>39931</w:t>
      </w:r>
      <w:r>
        <w:rPr>
          <w:rFonts w:hint="eastAsia" w:eastAsia="仿宋_GB2312"/>
          <w:color w:val="auto"/>
          <w:highlight w:val="none"/>
        </w:rPr>
        <w:t>元，排名全省第</w:t>
      </w:r>
      <w:r>
        <w:rPr>
          <w:rFonts w:eastAsia="仿宋_GB2312"/>
          <w:color w:val="auto"/>
          <w:highlight w:val="none"/>
        </w:rPr>
        <w:t>4</w:t>
      </w:r>
      <w:r>
        <w:rPr>
          <w:rFonts w:hint="eastAsia" w:eastAsia="仿宋_GB2312"/>
          <w:color w:val="auto"/>
          <w:highlight w:val="none"/>
        </w:rPr>
        <w:t>位，比</w:t>
      </w:r>
      <w:r>
        <w:rPr>
          <w:rFonts w:eastAsia="仿宋_GB2312"/>
          <w:color w:val="auto"/>
          <w:highlight w:val="none"/>
        </w:rPr>
        <w:t>2015</w:t>
      </w:r>
      <w:r>
        <w:rPr>
          <w:rFonts w:hint="eastAsia" w:eastAsia="仿宋_GB2312"/>
          <w:color w:val="auto"/>
          <w:highlight w:val="none"/>
        </w:rPr>
        <w:t>年增长</w:t>
      </w:r>
      <w:r>
        <w:rPr>
          <w:rFonts w:hint="eastAsia" w:eastAsia="仿宋_GB2312"/>
          <w:color w:val="auto"/>
          <w:highlight w:val="none"/>
          <w:lang w:val="en-US" w:eastAsia="zh-CN"/>
        </w:rPr>
        <w:t>39.5</w:t>
      </w:r>
      <w:r>
        <w:rPr>
          <w:rFonts w:eastAsia="仿宋_GB2312"/>
          <w:color w:val="auto"/>
          <w:highlight w:val="none"/>
        </w:rPr>
        <w:t>%</w:t>
      </w:r>
      <w:r>
        <w:rPr>
          <w:rFonts w:hint="eastAsia" w:eastAsia="仿宋_GB2312"/>
          <w:color w:val="auto"/>
          <w:highlight w:val="none"/>
        </w:rPr>
        <w:t>，农村居民人均可支配收入</w:t>
      </w:r>
      <w:r>
        <w:rPr>
          <w:rFonts w:hint="eastAsia" w:eastAsia="仿宋_GB2312"/>
          <w:color w:val="auto"/>
          <w:highlight w:val="none"/>
          <w:lang w:val="en-US" w:eastAsia="zh-CN"/>
        </w:rPr>
        <w:t>16088</w:t>
      </w:r>
      <w:r>
        <w:rPr>
          <w:rFonts w:hint="eastAsia" w:eastAsia="仿宋_GB2312"/>
          <w:color w:val="auto"/>
          <w:highlight w:val="none"/>
        </w:rPr>
        <w:t>元，排名全省第</w:t>
      </w:r>
      <w:r>
        <w:rPr>
          <w:rFonts w:hint="eastAsia" w:eastAsia="仿宋_GB2312"/>
          <w:color w:val="auto"/>
          <w:highlight w:val="none"/>
          <w:lang w:val="en-US" w:eastAsia="zh-CN"/>
        </w:rPr>
        <w:t>6</w:t>
      </w:r>
      <w:r>
        <w:rPr>
          <w:rFonts w:hint="eastAsia" w:eastAsia="仿宋_GB2312"/>
          <w:color w:val="auto"/>
          <w:highlight w:val="none"/>
        </w:rPr>
        <w:t>位，比</w:t>
      </w:r>
      <w:r>
        <w:rPr>
          <w:rFonts w:eastAsia="仿宋_GB2312"/>
          <w:color w:val="auto"/>
          <w:highlight w:val="none"/>
        </w:rPr>
        <w:t>2015</w:t>
      </w:r>
      <w:r>
        <w:rPr>
          <w:rFonts w:hint="eastAsia" w:eastAsia="仿宋_GB2312"/>
          <w:color w:val="auto"/>
          <w:highlight w:val="none"/>
        </w:rPr>
        <w:t>年增长</w:t>
      </w:r>
      <w:r>
        <w:rPr>
          <w:rFonts w:hint="eastAsia" w:eastAsia="仿宋_GB2312"/>
          <w:color w:val="auto"/>
          <w:highlight w:val="none"/>
          <w:lang w:val="en-US" w:eastAsia="zh-CN"/>
        </w:rPr>
        <w:t>48.9</w:t>
      </w:r>
      <w:r>
        <w:rPr>
          <w:rFonts w:eastAsia="仿宋_GB2312"/>
          <w:color w:val="auto"/>
          <w:highlight w:val="none"/>
        </w:rPr>
        <w:t>%</w:t>
      </w:r>
      <w:r>
        <w:rPr>
          <w:rFonts w:hint="eastAsia" w:eastAsia="仿宋_GB2312"/>
          <w:color w:val="auto"/>
          <w:highlight w:val="none"/>
          <w:lang w:eastAsia="zh-CN"/>
        </w:rPr>
        <w:t>，</w:t>
      </w:r>
      <w:r>
        <w:rPr>
          <w:rFonts w:hint="eastAsia" w:eastAsia="仿宋_GB2312"/>
          <w:color w:val="auto"/>
          <w:kern w:val="0"/>
          <w:highlight w:val="none"/>
          <w:lang w:eastAsia="zh-CN"/>
        </w:rPr>
        <w:t>实现人均可支配收入比</w:t>
      </w:r>
      <w:r>
        <w:rPr>
          <w:rFonts w:hint="eastAsia" w:eastAsia="仿宋_GB2312"/>
          <w:color w:val="auto"/>
          <w:kern w:val="0"/>
          <w:highlight w:val="none"/>
          <w:lang w:val="en-US" w:eastAsia="zh-CN"/>
        </w:rPr>
        <w:t>2010年翻一番目标</w:t>
      </w:r>
      <w:r>
        <w:rPr>
          <w:rFonts w:hint="eastAsia" w:eastAsia="仿宋_GB2312"/>
          <w:color w:val="auto"/>
          <w:kern w:val="0"/>
          <w:highlight w:val="none"/>
        </w:rPr>
        <w:t>。</w:t>
      </w:r>
    </w:p>
    <w:p w14:paraId="00BB6355">
      <w:pPr>
        <w:spacing w:line="560" w:lineRule="exact"/>
        <w:ind w:firstLine="640" w:firstLineChars="200"/>
        <w:outlineLvl w:val="2"/>
        <w:rPr>
          <w:rFonts w:eastAsia="楷体"/>
          <w:b w:val="0"/>
          <w:bCs/>
          <w:color w:val="auto"/>
          <w:highlight w:val="none"/>
        </w:rPr>
      </w:pPr>
      <w:bookmarkStart w:id="112" w:name="_Toc4031"/>
      <w:bookmarkStart w:id="113" w:name="_Toc15054"/>
      <w:bookmarkStart w:id="114" w:name="_Toc32540"/>
      <w:r>
        <w:rPr>
          <w:rFonts w:hint="eastAsia" w:eastAsia="楷体"/>
          <w:b w:val="0"/>
          <w:bCs/>
          <w:color w:val="auto"/>
          <w:highlight w:val="none"/>
        </w:rPr>
        <w:t>（二）</w:t>
      </w:r>
      <w:bookmarkEnd w:id="112"/>
      <w:bookmarkEnd w:id="113"/>
      <w:r>
        <w:rPr>
          <w:rFonts w:hint="eastAsia"/>
          <w:b w:val="0"/>
          <w:bCs/>
          <w:color w:val="auto"/>
          <w:highlight w:val="none"/>
        </w:rPr>
        <w:t>结构调整迈向高新高端</w:t>
      </w:r>
      <w:bookmarkEnd w:id="114"/>
    </w:p>
    <w:p w14:paraId="16A9F012">
      <w:pPr>
        <w:spacing w:line="560" w:lineRule="exact"/>
        <w:ind w:firstLine="640" w:firstLineChars="200"/>
        <w:rPr>
          <w:rFonts w:eastAsia="仿宋_GB2312"/>
          <w:color w:val="auto"/>
          <w:highlight w:val="none"/>
        </w:rPr>
      </w:pPr>
      <w:r>
        <w:rPr>
          <w:rFonts w:hint="eastAsia" w:eastAsia="仿宋_GB2312"/>
          <w:color w:val="auto"/>
          <w:highlight w:val="none"/>
        </w:rPr>
        <w:t>深入推进供给侧结构性改革，坚决去、主动调、加快转，推进经济发展质量变革、效率变革、动力变革，</w:t>
      </w:r>
      <w:r>
        <w:rPr>
          <w:rFonts w:hint="eastAsia" w:eastAsia="仿宋_GB2312"/>
          <w:color w:val="auto"/>
          <w:highlight w:val="none"/>
          <w:lang w:eastAsia="zh-CN"/>
        </w:rPr>
        <w:t>“</w:t>
      </w:r>
      <w:r>
        <w:rPr>
          <w:rFonts w:eastAsia="仿宋_GB2312"/>
          <w:color w:val="auto"/>
          <w:highlight w:val="none"/>
        </w:rPr>
        <w:t>532</w:t>
      </w:r>
      <w:r>
        <w:rPr>
          <w:rFonts w:hint="eastAsia" w:eastAsia="仿宋_GB2312"/>
          <w:color w:val="auto"/>
          <w:highlight w:val="none"/>
          <w:lang w:eastAsia="zh-CN"/>
        </w:rPr>
        <w:t>”</w:t>
      </w:r>
      <w:r>
        <w:rPr>
          <w:rFonts w:hint="eastAsia" w:eastAsia="仿宋_GB2312"/>
          <w:color w:val="auto"/>
          <w:highlight w:val="none"/>
        </w:rPr>
        <w:t>市域主导产业和</w:t>
      </w:r>
      <w:r>
        <w:rPr>
          <w:rFonts w:eastAsia="仿宋_GB2312"/>
          <w:color w:val="auto"/>
          <w:highlight w:val="none"/>
        </w:rPr>
        <w:t>6</w:t>
      </w:r>
      <w:r>
        <w:rPr>
          <w:rFonts w:hint="eastAsia" w:eastAsia="仿宋_GB2312"/>
          <w:color w:val="auto"/>
          <w:highlight w:val="none"/>
        </w:rPr>
        <w:t>大县域特色产业体系已具雏形。</w:t>
      </w:r>
      <w:r>
        <w:rPr>
          <w:rFonts w:hint="eastAsia" w:eastAsia="仿宋_GB2312"/>
          <w:b/>
          <w:color w:val="auto"/>
          <w:highlight w:val="none"/>
        </w:rPr>
        <w:t>农业基础地位更加稳固，</w:t>
      </w:r>
      <w:r>
        <w:rPr>
          <w:rFonts w:hint="eastAsia" w:eastAsia="仿宋_GB2312"/>
          <w:color w:val="auto"/>
          <w:highlight w:val="none"/>
        </w:rPr>
        <w:t>粮食总产量稳定在</w:t>
      </w:r>
      <w:r>
        <w:rPr>
          <w:rFonts w:hint="eastAsia" w:eastAsia="仿宋_GB2312"/>
          <w:color w:val="auto"/>
          <w:highlight w:val="none"/>
          <w:lang w:val="en-US" w:eastAsia="zh-CN"/>
        </w:rPr>
        <w:t>14</w:t>
      </w:r>
      <w:r>
        <w:rPr>
          <w:rFonts w:hint="eastAsia" w:eastAsia="仿宋_GB2312"/>
          <w:color w:val="auto"/>
          <w:highlight w:val="none"/>
        </w:rPr>
        <w:t>亿斤以上，全市特色种养业占农业总产值比重提高到</w:t>
      </w:r>
      <w:r>
        <w:rPr>
          <w:rFonts w:eastAsia="仿宋_GB2312"/>
          <w:color w:val="auto"/>
          <w:highlight w:val="none"/>
        </w:rPr>
        <w:t>67%</w:t>
      </w:r>
      <w:r>
        <w:rPr>
          <w:rFonts w:hint="eastAsia" w:eastAsia="仿宋_GB2312"/>
          <w:color w:val="auto"/>
          <w:highlight w:val="none"/>
        </w:rPr>
        <w:t>，农业产业化经营率达到</w:t>
      </w:r>
      <w:r>
        <w:rPr>
          <w:rFonts w:eastAsia="仿宋_GB2312"/>
          <w:color w:val="auto"/>
          <w:highlight w:val="none"/>
        </w:rPr>
        <w:t>72</w:t>
      </w:r>
      <w:r>
        <w:rPr>
          <w:rFonts w:hint="eastAsia" w:eastAsia="仿宋_GB2312"/>
          <w:color w:val="auto"/>
          <w:highlight w:val="none"/>
          <w:lang w:val="en-US" w:eastAsia="zh-CN"/>
        </w:rPr>
        <w:t>.55</w:t>
      </w:r>
      <w:r>
        <w:rPr>
          <w:rFonts w:eastAsia="仿宋_GB2312"/>
          <w:color w:val="auto"/>
          <w:highlight w:val="none"/>
        </w:rPr>
        <w:t>%</w:t>
      </w:r>
      <w:r>
        <w:rPr>
          <w:rFonts w:hint="eastAsia" w:eastAsia="仿宋_GB2312"/>
          <w:color w:val="auto"/>
          <w:highlight w:val="none"/>
        </w:rPr>
        <w:t>，稳居全省首位，农副产品转换率达到</w:t>
      </w:r>
      <w:r>
        <w:rPr>
          <w:rFonts w:eastAsia="仿宋_GB2312"/>
          <w:color w:val="auto"/>
          <w:highlight w:val="none"/>
        </w:rPr>
        <w:t>47.2%</w:t>
      </w:r>
      <w:r>
        <w:rPr>
          <w:rFonts w:hint="eastAsia" w:eastAsia="仿宋_GB2312"/>
          <w:color w:val="auto"/>
          <w:highlight w:val="none"/>
        </w:rPr>
        <w:t>，比</w:t>
      </w:r>
      <w:r>
        <w:rPr>
          <w:rFonts w:eastAsia="仿宋_GB2312"/>
          <w:color w:val="auto"/>
          <w:highlight w:val="none"/>
        </w:rPr>
        <w:t>2015</w:t>
      </w:r>
      <w:r>
        <w:rPr>
          <w:rFonts w:hint="eastAsia" w:eastAsia="仿宋_GB2312"/>
          <w:color w:val="auto"/>
          <w:highlight w:val="none"/>
        </w:rPr>
        <w:t>年提高</w:t>
      </w:r>
      <w:r>
        <w:rPr>
          <w:rFonts w:eastAsia="仿宋_GB2312"/>
          <w:color w:val="auto"/>
          <w:highlight w:val="none"/>
        </w:rPr>
        <w:t>7.5</w:t>
      </w:r>
      <w:r>
        <w:rPr>
          <w:rFonts w:hint="eastAsia" w:eastAsia="仿宋_GB2312"/>
          <w:color w:val="auto"/>
          <w:highlight w:val="none"/>
          <w:lang w:eastAsia="zh-CN"/>
        </w:rPr>
        <w:t>个</w:t>
      </w:r>
      <w:r>
        <w:rPr>
          <w:rFonts w:hint="eastAsia" w:eastAsia="仿宋_GB2312"/>
          <w:color w:val="auto"/>
          <w:highlight w:val="none"/>
        </w:rPr>
        <w:t>百分点，全市农产品出口总量占全省</w:t>
      </w:r>
      <w:r>
        <w:rPr>
          <w:rFonts w:eastAsia="仿宋_GB2312"/>
          <w:color w:val="auto"/>
          <w:highlight w:val="none"/>
        </w:rPr>
        <w:t>30%</w:t>
      </w:r>
      <w:r>
        <w:rPr>
          <w:rFonts w:hint="eastAsia" w:eastAsia="仿宋_GB2312"/>
          <w:color w:val="auto"/>
          <w:highlight w:val="none"/>
        </w:rPr>
        <w:t>，排名全省第一。</w:t>
      </w:r>
      <w:r>
        <w:rPr>
          <w:rFonts w:hint="eastAsia" w:eastAsia="仿宋_GB2312"/>
          <w:b/>
          <w:color w:val="auto"/>
          <w:highlight w:val="none"/>
        </w:rPr>
        <w:t>工业经济成为稳增长压舱石</w:t>
      </w:r>
      <w:r>
        <w:rPr>
          <w:rFonts w:hint="eastAsia" w:eastAsia="仿宋_GB2312"/>
          <w:b/>
          <w:color w:val="auto"/>
          <w:highlight w:val="none"/>
          <w:lang w:val="en-US" w:eastAsia="zh-CN"/>
        </w:rPr>
        <w:t>,</w:t>
      </w:r>
      <w:r>
        <w:rPr>
          <w:rFonts w:hint="eastAsia" w:eastAsia="仿宋_GB2312"/>
          <w:color w:val="auto"/>
          <w:highlight w:val="none"/>
        </w:rPr>
        <w:t>金属压延业提档升级，累计压减钢铁产能</w:t>
      </w:r>
      <w:r>
        <w:rPr>
          <w:rFonts w:eastAsia="仿宋_GB2312"/>
          <w:color w:val="auto"/>
          <w:highlight w:val="none"/>
        </w:rPr>
        <w:t>18</w:t>
      </w:r>
      <w:r>
        <w:rPr>
          <w:rFonts w:hint="eastAsia" w:eastAsia="仿宋_GB2312"/>
          <w:color w:val="auto"/>
          <w:highlight w:val="none"/>
          <w:lang w:val="en-US" w:eastAsia="zh-CN"/>
        </w:rPr>
        <w:t>60</w:t>
      </w:r>
      <w:r>
        <w:rPr>
          <w:rFonts w:hint="eastAsia" w:eastAsia="仿宋_GB2312"/>
          <w:color w:val="auto"/>
          <w:highlight w:val="none"/>
        </w:rPr>
        <w:t>万吨，超额完成</w:t>
      </w:r>
      <w:r>
        <w:rPr>
          <w:rFonts w:hint="eastAsia" w:eastAsia="仿宋_GB2312"/>
          <w:color w:val="auto"/>
          <w:highlight w:val="none"/>
          <w:lang w:eastAsia="zh-CN"/>
        </w:rPr>
        <w:t>“</w:t>
      </w:r>
      <w:r>
        <w:rPr>
          <w:rFonts w:hint="eastAsia" w:eastAsia="仿宋_GB2312"/>
          <w:color w:val="auto"/>
          <w:highlight w:val="none"/>
        </w:rPr>
        <w:t>十三五</w:t>
      </w:r>
      <w:r>
        <w:rPr>
          <w:rFonts w:hint="eastAsia" w:eastAsia="仿宋_GB2312"/>
          <w:color w:val="auto"/>
          <w:highlight w:val="none"/>
          <w:lang w:eastAsia="zh-CN"/>
        </w:rPr>
        <w:t>”</w:t>
      </w:r>
      <w:r>
        <w:rPr>
          <w:rFonts w:hint="eastAsia" w:eastAsia="仿宋_GB2312"/>
          <w:color w:val="auto"/>
          <w:highlight w:val="none"/>
        </w:rPr>
        <w:t>化解钢铁过剩产能任务，主体设备实现大型化，产业链条实现延伸化，安丰公司、宏兴公司进入中国民营企业</w:t>
      </w:r>
      <w:r>
        <w:rPr>
          <w:rFonts w:eastAsia="仿宋_GB2312"/>
          <w:color w:val="auto"/>
          <w:highlight w:val="none"/>
        </w:rPr>
        <w:t>500</w:t>
      </w:r>
      <w:r>
        <w:rPr>
          <w:rFonts w:hint="eastAsia" w:eastAsia="仿宋_GB2312"/>
          <w:color w:val="auto"/>
          <w:highlight w:val="none"/>
        </w:rPr>
        <w:t>强行列</w:t>
      </w:r>
      <w:r>
        <w:rPr>
          <w:rFonts w:hint="eastAsia" w:eastAsia="仿宋_GB2312"/>
          <w:color w:val="auto"/>
          <w:highlight w:val="none"/>
          <w:lang w:eastAsia="zh-CN"/>
        </w:rPr>
        <w:t>。</w:t>
      </w:r>
      <w:r>
        <w:rPr>
          <w:rFonts w:hint="eastAsia" w:eastAsia="仿宋_GB2312"/>
          <w:color w:val="auto"/>
          <w:highlight w:val="none"/>
        </w:rPr>
        <w:t>玻璃行业走出困境，耀华玻璃集团完成与中国建材凯盛科技集团重组，百年企业得以延续辉煌，成为国有企业处僵治困的典范</w:t>
      </w:r>
      <w:r>
        <w:rPr>
          <w:rFonts w:hint="eastAsia" w:eastAsia="仿宋_GB2312"/>
          <w:color w:val="auto"/>
          <w:highlight w:val="none"/>
          <w:lang w:eastAsia="zh-CN"/>
        </w:rPr>
        <w:t>。</w:t>
      </w:r>
      <w:r>
        <w:rPr>
          <w:rFonts w:hint="eastAsia" w:eastAsia="仿宋_GB2312"/>
          <w:color w:val="auto"/>
          <w:kern w:val="0"/>
          <w:highlight w:val="none"/>
        </w:rPr>
        <w:t>装备制造业增加值占到规模以上工业增加值的</w:t>
      </w:r>
      <w:r>
        <w:rPr>
          <w:rFonts w:eastAsia="仿宋_GB2312"/>
          <w:color w:val="auto"/>
          <w:kern w:val="0"/>
          <w:highlight w:val="none"/>
        </w:rPr>
        <w:t>39.</w:t>
      </w:r>
      <w:r>
        <w:rPr>
          <w:rFonts w:hint="eastAsia" w:eastAsia="仿宋_GB2312"/>
          <w:color w:val="auto"/>
          <w:kern w:val="0"/>
          <w:highlight w:val="none"/>
          <w:lang w:val="en-US" w:eastAsia="zh-CN"/>
        </w:rPr>
        <w:t>6</w:t>
      </w:r>
      <w:r>
        <w:rPr>
          <w:rFonts w:eastAsia="仿宋_GB2312"/>
          <w:color w:val="auto"/>
          <w:kern w:val="0"/>
          <w:highlight w:val="none"/>
        </w:rPr>
        <w:t>%</w:t>
      </w:r>
      <w:r>
        <w:rPr>
          <w:rFonts w:hint="eastAsia" w:eastAsia="仿宋_GB2312"/>
          <w:color w:val="auto"/>
          <w:kern w:val="0"/>
          <w:highlight w:val="none"/>
        </w:rPr>
        <w:t>，年均增长</w:t>
      </w:r>
      <w:r>
        <w:rPr>
          <w:rFonts w:hint="eastAsia" w:eastAsia="仿宋_GB2312"/>
          <w:color w:val="auto"/>
          <w:kern w:val="0"/>
          <w:highlight w:val="none"/>
          <w:lang w:val="en-US" w:eastAsia="zh-CN"/>
        </w:rPr>
        <w:t>10.7</w:t>
      </w:r>
      <w:r>
        <w:rPr>
          <w:rFonts w:eastAsia="仿宋_GB2312"/>
          <w:color w:val="auto"/>
          <w:kern w:val="0"/>
          <w:highlight w:val="none"/>
        </w:rPr>
        <w:t>%</w:t>
      </w:r>
      <w:r>
        <w:rPr>
          <w:rFonts w:hint="eastAsia" w:eastAsia="仿宋_GB2312"/>
          <w:color w:val="auto"/>
          <w:kern w:val="0"/>
          <w:highlight w:val="none"/>
        </w:rPr>
        <w:t>，高出规上工业年均增速</w:t>
      </w:r>
      <w:r>
        <w:rPr>
          <w:rFonts w:hint="eastAsia" w:eastAsia="仿宋_GB2312"/>
          <w:color w:val="auto"/>
          <w:kern w:val="0"/>
          <w:highlight w:val="none"/>
          <w:lang w:val="en-US" w:eastAsia="zh-CN"/>
        </w:rPr>
        <w:t>3.5</w:t>
      </w:r>
      <w:r>
        <w:rPr>
          <w:rFonts w:hint="eastAsia" w:eastAsia="仿宋_GB2312"/>
          <w:color w:val="auto"/>
          <w:kern w:val="0"/>
          <w:highlight w:val="none"/>
        </w:rPr>
        <w:t>个百分点，成为工业经济主导力量</w:t>
      </w:r>
      <w:r>
        <w:rPr>
          <w:rFonts w:hint="eastAsia" w:eastAsia="仿宋_GB2312"/>
          <w:color w:val="auto"/>
          <w:highlight w:val="none"/>
        </w:rPr>
        <w:t>。</w:t>
      </w:r>
      <w:r>
        <w:rPr>
          <w:rFonts w:hint="eastAsia" w:eastAsia="仿宋_GB2312"/>
          <w:b/>
          <w:color w:val="auto"/>
          <w:highlight w:val="none"/>
        </w:rPr>
        <w:t>现代服务业加快发展，</w:t>
      </w:r>
      <w:r>
        <w:rPr>
          <w:rFonts w:hint="eastAsia" w:eastAsia="仿宋_GB2312"/>
          <w:color w:val="auto"/>
          <w:highlight w:val="none"/>
        </w:rPr>
        <w:t>旅游业发展驶入快车道，实现了转型、质的变化。高水平承办第二届省旅发大会、省第二届园博会，成功举办两届市旅发大会，</w:t>
      </w:r>
      <w:r>
        <w:rPr>
          <w:rFonts w:hint="eastAsia" w:eastAsia="仿宋_GB2312"/>
          <w:color w:val="auto"/>
          <w:highlight w:val="none"/>
          <w:lang w:eastAsia="zh-CN"/>
        </w:rPr>
        <w:t>“</w:t>
      </w:r>
      <w:r>
        <w:rPr>
          <w:rFonts w:hint="eastAsia" w:eastAsia="仿宋_GB2312"/>
          <w:color w:val="auto"/>
          <w:highlight w:val="none"/>
        </w:rPr>
        <w:t>秦皇山海、康养福地</w:t>
      </w:r>
      <w:r>
        <w:rPr>
          <w:rFonts w:hint="eastAsia" w:eastAsia="仿宋_GB2312"/>
          <w:color w:val="auto"/>
          <w:highlight w:val="none"/>
          <w:lang w:eastAsia="zh-CN"/>
        </w:rPr>
        <w:t>”</w:t>
      </w:r>
      <w:r>
        <w:rPr>
          <w:rFonts w:hint="eastAsia" w:eastAsia="仿宋_GB2312"/>
          <w:color w:val="auto"/>
          <w:highlight w:val="none"/>
        </w:rPr>
        <w:t>旅游品牌影响力不断放大，荣登</w:t>
      </w:r>
      <w:r>
        <w:rPr>
          <w:rFonts w:hint="eastAsia" w:eastAsia="仿宋_GB2312"/>
          <w:color w:val="auto"/>
          <w:highlight w:val="none"/>
          <w:lang w:eastAsia="zh-CN"/>
        </w:rPr>
        <w:t>“</w:t>
      </w:r>
      <w:r>
        <w:rPr>
          <w:rFonts w:eastAsia="仿宋_GB2312"/>
          <w:color w:val="auto"/>
          <w:highlight w:val="none"/>
        </w:rPr>
        <w:t>2018</w:t>
      </w:r>
      <w:r>
        <w:rPr>
          <w:rFonts w:hint="eastAsia" w:eastAsia="仿宋_GB2312"/>
          <w:color w:val="auto"/>
          <w:highlight w:val="none"/>
        </w:rPr>
        <w:t>旅游业最美中国榜</w:t>
      </w:r>
      <w:r>
        <w:rPr>
          <w:rFonts w:hint="eastAsia" w:eastAsia="仿宋_GB2312"/>
          <w:color w:val="auto"/>
          <w:highlight w:val="none"/>
          <w:lang w:eastAsia="zh-CN"/>
        </w:rPr>
        <w:t>”</w:t>
      </w:r>
      <w:r>
        <w:rPr>
          <w:rFonts w:hint="eastAsia" w:eastAsia="仿宋_GB2312"/>
          <w:color w:val="auto"/>
          <w:highlight w:val="none"/>
        </w:rPr>
        <w:t>，旅游收入突破</w:t>
      </w:r>
      <w:r>
        <w:rPr>
          <w:rFonts w:eastAsia="仿宋_GB2312"/>
          <w:color w:val="auto"/>
          <w:highlight w:val="none"/>
        </w:rPr>
        <w:t>3200</w:t>
      </w:r>
      <w:r>
        <w:rPr>
          <w:rFonts w:hint="eastAsia" w:eastAsia="仿宋_GB2312"/>
          <w:color w:val="auto"/>
          <w:highlight w:val="none"/>
        </w:rPr>
        <w:t>亿元</w:t>
      </w:r>
      <w:r>
        <w:rPr>
          <w:rFonts w:hint="eastAsia" w:eastAsia="仿宋_GB2312"/>
          <w:color w:val="auto"/>
          <w:highlight w:val="none"/>
          <w:lang w:eastAsia="zh-CN"/>
        </w:rPr>
        <w:t>。</w:t>
      </w:r>
      <w:r>
        <w:rPr>
          <w:rFonts w:hint="eastAsia" w:eastAsia="仿宋_GB2312"/>
          <w:color w:val="auto"/>
          <w:highlight w:val="none"/>
        </w:rPr>
        <w:t>服务业新业态、新模式加速兴起，</w:t>
      </w:r>
      <w:r>
        <w:rPr>
          <w:rFonts w:hint="eastAsia" w:eastAsia="仿宋_GB2312"/>
          <w:color w:val="auto"/>
          <w:kern w:val="0"/>
          <w:highlight w:val="none"/>
        </w:rPr>
        <w:t>服务业</w:t>
      </w:r>
      <w:r>
        <w:rPr>
          <w:rFonts w:hint="eastAsia" w:eastAsia="仿宋_GB2312"/>
          <w:color w:val="auto"/>
          <w:highlight w:val="none"/>
        </w:rPr>
        <w:t>对经济增长的贡献率达到</w:t>
      </w:r>
      <w:r>
        <w:rPr>
          <w:rFonts w:hint="eastAsia" w:eastAsia="仿宋_GB2312"/>
          <w:color w:val="auto"/>
          <w:highlight w:val="none"/>
          <w:lang w:val="en-US" w:eastAsia="zh-CN"/>
        </w:rPr>
        <w:t>65</w:t>
      </w:r>
      <w:r>
        <w:rPr>
          <w:rFonts w:eastAsia="仿宋_GB2312"/>
          <w:color w:val="auto"/>
          <w:highlight w:val="none"/>
        </w:rPr>
        <w:t>%</w:t>
      </w:r>
      <w:r>
        <w:rPr>
          <w:rFonts w:hint="eastAsia" w:eastAsia="仿宋_GB2312"/>
          <w:color w:val="auto"/>
          <w:highlight w:val="none"/>
        </w:rPr>
        <w:t>。</w:t>
      </w:r>
      <w:r>
        <w:rPr>
          <w:rFonts w:hint="eastAsia" w:eastAsia="仿宋_GB2312"/>
          <w:b/>
          <w:color w:val="auto"/>
          <w:highlight w:val="none"/>
        </w:rPr>
        <w:t>新兴产业加快培育，</w:t>
      </w:r>
      <w:r>
        <w:rPr>
          <w:rFonts w:hint="eastAsia" w:eastAsia="仿宋_GB2312"/>
          <w:color w:val="auto"/>
          <w:highlight w:val="none"/>
        </w:rPr>
        <w:t>高新技术产业占全市规模以上工业增加值达到</w:t>
      </w:r>
      <w:r>
        <w:rPr>
          <w:rFonts w:hint="eastAsia" w:eastAsia="仿宋_GB2312"/>
          <w:color w:val="auto"/>
          <w:highlight w:val="none"/>
          <w:lang w:val="en-US" w:eastAsia="zh-CN"/>
        </w:rPr>
        <w:t>36.7</w:t>
      </w:r>
      <w:r>
        <w:rPr>
          <w:rFonts w:eastAsia="仿宋_GB2312"/>
          <w:color w:val="auto"/>
          <w:highlight w:val="none"/>
        </w:rPr>
        <w:t>%</w:t>
      </w:r>
      <w:r>
        <w:rPr>
          <w:rFonts w:hint="eastAsia" w:eastAsia="仿宋_GB2312"/>
          <w:color w:val="auto"/>
          <w:highlight w:val="none"/>
        </w:rPr>
        <w:t>，</w:t>
      </w:r>
      <w:r>
        <w:rPr>
          <w:rFonts w:hint="eastAsia" w:eastAsia="仿宋_GB2312"/>
          <w:color w:val="auto"/>
          <w:kern w:val="0"/>
          <w:highlight w:val="none"/>
        </w:rPr>
        <w:t>战略新兴产业占规模以上工业增加值达到17.2%，</w:t>
      </w:r>
      <w:r>
        <w:rPr>
          <w:rFonts w:hint="eastAsia" w:eastAsia="仿宋_GB2312"/>
          <w:color w:val="auto"/>
          <w:highlight w:val="none"/>
        </w:rPr>
        <w:t>康养产业增加值占地区生产总值比重达到</w:t>
      </w:r>
      <w:r>
        <w:rPr>
          <w:rFonts w:eastAsia="仿宋_GB2312"/>
          <w:color w:val="auto"/>
          <w:highlight w:val="none"/>
        </w:rPr>
        <w:t>9.2%</w:t>
      </w:r>
      <w:r>
        <w:rPr>
          <w:rFonts w:hint="eastAsia" w:eastAsia="仿宋_GB2312"/>
          <w:color w:val="auto"/>
          <w:highlight w:val="none"/>
        </w:rPr>
        <w:t>，国家海洋经济创新发展示范城市加快建设，军民融合产业不断壮大。县域特色产业集群主营业务收入全部达到</w:t>
      </w:r>
      <w:r>
        <w:rPr>
          <w:rFonts w:eastAsia="仿宋_GB2312"/>
          <w:color w:val="auto"/>
          <w:highlight w:val="none"/>
        </w:rPr>
        <w:t>10</w:t>
      </w:r>
      <w:r>
        <w:rPr>
          <w:rFonts w:hint="eastAsia" w:eastAsia="仿宋_GB2312"/>
          <w:color w:val="auto"/>
          <w:highlight w:val="none"/>
        </w:rPr>
        <w:t>亿元、</w:t>
      </w:r>
      <w:r>
        <w:rPr>
          <w:rFonts w:eastAsia="仿宋_GB2312"/>
          <w:color w:val="auto"/>
          <w:highlight w:val="none"/>
        </w:rPr>
        <w:t>2</w:t>
      </w:r>
      <w:r>
        <w:rPr>
          <w:rFonts w:hint="eastAsia" w:eastAsia="仿宋_GB2312"/>
          <w:color w:val="auto"/>
          <w:highlight w:val="none"/>
        </w:rPr>
        <w:t>个超百亿元。产业发展腾笼换鸟突破</w:t>
      </w:r>
      <w:r>
        <w:rPr>
          <w:rFonts w:hint="eastAsia" w:eastAsia="仿宋_GB2312"/>
          <w:color w:val="auto"/>
          <w:highlight w:val="none"/>
          <w:lang w:eastAsia="zh-CN"/>
        </w:rPr>
        <w:t>“</w:t>
      </w:r>
      <w:r>
        <w:rPr>
          <w:rFonts w:hint="eastAsia" w:eastAsia="仿宋_GB2312"/>
          <w:color w:val="auto"/>
          <w:highlight w:val="none"/>
        </w:rPr>
        <w:t>瓶颈期</w:t>
      </w:r>
      <w:r>
        <w:rPr>
          <w:rFonts w:hint="eastAsia" w:eastAsia="仿宋_GB2312"/>
          <w:color w:val="auto"/>
          <w:highlight w:val="none"/>
          <w:lang w:eastAsia="zh-CN"/>
        </w:rPr>
        <w:t>”</w:t>
      </w:r>
      <w:r>
        <w:rPr>
          <w:rFonts w:hint="eastAsia" w:eastAsia="仿宋_GB2312"/>
          <w:color w:val="auto"/>
          <w:highlight w:val="none"/>
        </w:rPr>
        <w:t>，减负前行驶上</w:t>
      </w:r>
      <w:r>
        <w:rPr>
          <w:rFonts w:hint="eastAsia" w:eastAsia="仿宋_GB2312"/>
          <w:color w:val="auto"/>
          <w:highlight w:val="none"/>
          <w:lang w:eastAsia="zh-CN"/>
        </w:rPr>
        <w:t>“</w:t>
      </w:r>
      <w:r>
        <w:rPr>
          <w:rFonts w:hint="eastAsia" w:eastAsia="仿宋_GB2312"/>
          <w:color w:val="auto"/>
          <w:highlight w:val="none"/>
        </w:rPr>
        <w:t>快车道</w:t>
      </w:r>
      <w:r>
        <w:rPr>
          <w:rFonts w:hint="eastAsia" w:eastAsia="仿宋_GB2312"/>
          <w:color w:val="auto"/>
          <w:highlight w:val="none"/>
          <w:lang w:eastAsia="zh-CN"/>
        </w:rPr>
        <w:t>”</w:t>
      </w:r>
      <w:r>
        <w:rPr>
          <w:rFonts w:hint="eastAsia" w:eastAsia="仿宋_GB2312"/>
          <w:color w:val="auto"/>
          <w:highlight w:val="none"/>
        </w:rPr>
        <w:t>。</w:t>
      </w:r>
    </w:p>
    <w:p w14:paraId="2D955D0E">
      <w:pPr>
        <w:spacing w:line="560" w:lineRule="exact"/>
        <w:ind w:firstLine="640" w:firstLineChars="200"/>
        <w:outlineLvl w:val="2"/>
        <w:rPr>
          <w:b w:val="0"/>
          <w:bCs w:val="0"/>
          <w:color w:val="auto"/>
          <w:highlight w:val="none"/>
        </w:rPr>
      </w:pPr>
      <w:bookmarkStart w:id="115" w:name="_Toc5343"/>
      <w:bookmarkStart w:id="116" w:name="_Toc5111"/>
      <w:bookmarkStart w:id="117" w:name="_Toc8714"/>
      <w:r>
        <w:rPr>
          <w:rFonts w:hint="eastAsia"/>
          <w:b w:val="0"/>
          <w:bCs w:val="0"/>
          <w:color w:val="auto"/>
          <w:highlight w:val="none"/>
        </w:rPr>
        <w:t>（三）三大攻坚战</w:t>
      </w:r>
      <w:bookmarkEnd w:id="115"/>
      <w:r>
        <w:rPr>
          <w:rFonts w:hint="eastAsia"/>
          <w:b w:val="0"/>
          <w:bCs w:val="0"/>
          <w:color w:val="auto"/>
          <w:highlight w:val="none"/>
        </w:rPr>
        <w:t>取得</w:t>
      </w:r>
      <w:bookmarkEnd w:id="116"/>
      <w:r>
        <w:rPr>
          <w:rFonts w:hint="eastAsia"/>
          <w:b w:val="0"/>
          <w:bCs w:val="0"/>
          <w:color w:val="auto"/>
          <w:highlight w:val="none"/>
        </w:rPr>
        <w:t>决定性成就</w:t>
      </w:r>
      <w:bookmarkEnd w:id="117"/>
    </w:p>
    <w:p w14:paraId="58A41596">
      <w:pPr>
        <w:spacing w:line="560" w:lineRule="exact"/>
        <w:ind w:firstLine="643" w:firstLineChars="200"/>
        <w:rPr>
          <w:rFonts w:eastAsia="仿宋_GB2312"/>
          <w:bCs/>
          <w:color w:val="auto"/>
          <w:highlight w:val="none"/>
        </w:rPr>
      </w:pPr>
      <w:r>
        <w:rPr>
          <w:rFonts w:hint="eastAsia" w:eastAsia="仿宋_GB2312"/>
          <w:b/>
          <w:color w:val="auto"/>
          <w:highlight w:val="none"/>
        </w:rPr>
        <w:t>脱贫攻坚取得全面胜利，</w:t>
      </w:r>
      <w:r>
        <w:rPr>
          <w:rFonts w:hint="eastAsia" w:eastAsia="仿宋_GB2312"/>
          <w:bCs/>
          <w:color w:val="auto"/>
          <w:highlight w:val="none"/>
        </w:rPr>
        <w:t>全市现行标准下农村贫困人口全部稳定脱贫，</w:t>
      </w:r>
      <w:r>
        <w:rPr>
          <w:rFonts w:hint="eastAsia" w:eastAsia="仿宋_GB2312"/>
          <w:color w:val="auto"/>
          <w:highlight w:val="none"/>
        </w:rPr>
        <w:t>青龙满族自治县成功脱贫摘帽，结束沿海开放城市存在国家级贫困县历史，</w:t>
      </w:r>
      <w:r>
        <w:rPr>
          <w:rFonts w:hint="eastAsia" w:eastAsia="仿宋_GB2312"/>
          <w:bCs/>
          <w:color w:val="auto"/>
          <w:highlight w:val="none"/>
        </w:rPr>
        <w:t>易地扶贫搬迁任务高质量完成</w:t>
      </w:r>
      <w:r>
        <w:rPr>
          <w:rFonts w:hint="eastAsia" w:eastAsia="仿宋_GB2312"/>
          <w:bCs/>
          <w:color w:val="auto"/>
          <w:highlight w:val="none"/>
          <w:lang w:eastAsia="zh-CN"/>
        </w:rPr>
        <w:t>。</w:t>
      </w:r>
      <w:r>
        <w:rPr>
          <w:rFonts w:hint="eastAsia" w:eastAsia="仿宋_GB2312"/>
          <w:bCs/>
          <w:color w:val="auto"/>
          <w:highlight w:val="none"/>
        </w:rPr>
        <w:t>聚焦</w:t>
      </w:r>
      <w:r>
        <w:rPr>
          <w:rFonts w:hint="eastAsia" w:eastAsia="仿宋_GB2312"/>
          <w:bCs/>
          <w:color w:val="auto"/>
          <w:highlight w:val="none"/>
          <w:lang w:eastAsia="zh-CN"/>
        </w:rPr>
        <w:t>“</w:t>
      </w:r>
      <w:r>
        <w:rPr>
          <w:rFonts w:hint="eastAsia" w:eastAsia="仿宋_GB2312"/>
          <w:bCs/>
          <w:color w:val="auto"/>
          <w:highlight w:val="none"/>
        </w:rPr>
        <w:t>两不愁三保障</w:t>
      </w:r>
      <w:r>
        <w:rPr>
          <w:rFonts w:hint="eastAsia" w:eastAsia="仿宋_GB2312"/>
          <w:bCs/>
          <w:color w:val="auto"/>
          <w:highlight w:val="none"/>
          <w:lang w:eastAsia="zh-CN"/>
        </w:rPr>
        <w:t>”</w:t>
      </w:r>
      <w:r>
        <w:rPr>
          <w:rFonts w:hint="eastAsia" w:eastAsia="仿宋_GB2312"/>
          <w:bCs/>
          <w:color w:val="auto"/>
          <w:highlight w:val="none"/>
        </w:rPr>
        <w:t>，建立健全脱贫防贫长效机制。</w:t>
      </w:r>
      <w:r>
        <w:rPr>
          <w:rFonts w:hint="eastAsia" w:eastAsia="仿宋_GB2312"/>
          <w:b/>
          <w:bCs/>
          <w:color w:val="auto"/>
          <w:highlight w:val="none"/>
        </w:rPr>
        <w:t>生态环境建设成绩斐然，</w:t>
      </w:r>
      <w:r>
        <w:rPr>
          <w:rFonts w:hint="eastAsia" w:eastAsia="仿宋_GB2312"/>
          <w:bCs/>
          <w:color w:val="auto"/>
          <w:highlight w:val="none"/>
        </w:rPr>
        <w:t>坚持标本兼治、精准施策，以前所未有的决心和力度，打好蓝天、碧水、净土保卫战</w:t>
      </w:r>
      <w:r>
        <w:rPr>
          <w:rFonts w:hint="eastAsia" w:eastAsia="仿宋_GB2312"/>
          <w:bCs/>
          <w:color w:val="auto"/>
          <w:highlight w:val="none"/>
          <w:lang w:eastAsia="zh-CN"/>
        </w:rPr>
        <w:t>。“</w:t>
      </w:r>
      <w:r>
        <w:rPr>
          <w:rFonts w:hint="eastAsia" w:eastAsia="仿宋_GB2312"/>
          <w:bCs/>
          <w:color w:val="auto"/>
          <w:highlight w:val="none"/>
        </w:rPr>
        <w:t>散乱污</w:t>
      </w:r>
      <w:r>
        <w:rPr>
          <w:rFonts w:hint="eastAsia" w:eastAsia="仿宋_GB2312"/>
          <w:bCs/>
          <w:color w:val="auto"/>
          <w:highlight w:val="none"/>
          <w:lang w:eastAsia="zh-CN"/>
        </w:rPr>
        <w:t>”</w:t>
      </w:r>
      <w:r>
        <w:rPr>
          <w:rFonts w:hint="eastAsia" w:eastAsia="仿宋_GB2312"/>
          <w:bCs/>
          <w:color w:val="auto"/>
          <w:highlight w:val="none"/>
        </w:rPr>
        <w:t>企业基本出清，散煤治理取得重大进展，</w:t>
      </w:r>
      <w:r>
        <w:rPr>
          <w:rFonts w:eastAsia="仿宋_GB2312"/>
          <w:bCs/>
          <w:color w:val="auto"/>
          <w:highlight w:val="none"/>
        </w:rPr>
        <w:t xml:space="preserve"> PM</w:t>
      </w:r>
      <w:r>
        <w:rPr>
          <w:rFonts w:eastAsia="仿宋_GB2312"/>
          <w:bCs/>
          <w:color w:val="auto"/>
          <w:highlight w:val="none"/>
          <w:vertAlign w:val="subscript"/>
        </w:rPr>
        <w:t>2.5</w:t>
      </w:r>
      <w:r>
        <w:rPr>
          <w:rFonts w:hint="eastAsia" w:eastAsia="仿宋_GB2312"/>
          <w:bCs/>
          <w:color w:val="auto"/>
          <w:highlight w:val="none"/>
        </w:rPr>
        <w:t>平均浓度从</w:t>
      </w:r>
      <w:r>
        <w:rPr>
          <w:rFonts w:eastAsia="仿宋_GB2312"/>
          <w:bCs/>
          <w:color w:val="auto"/>
          <w:highlight w:val="none"/>
        </w:rPr>
        <w:t>48</w:t>
      </w:r>
      <w:r>
        <w:rPr>
          <w:rFonts w:hint="eastAsia" w:eastAsia="仿宋_GB2312"/>
          <w:bCs/>
          <w:color w:val="auto"/>
          <w:highlight w:val="none"/>
        </w:rPr>
        <w:t>微克</w:t>
      </w:r>
      <w:r>
        <w:rPr>
          <w:rFonts w:eastAsia="仿宋_GB2312"/>
          <w:bCs/>
          <w:color w:val="auto"/>
          <w:highlight w:val="none"/>
        </w:rPr>
        <w:t>/</w:t>
      </w:r>
      <w:r>
        <w:rPr>
          <w:rFonts w:hint="eastAsia" w:eastAsia="仿宋_GB2312"/>
          <w:bCs/>
          <w:color w:val="auto"/>
          <w:highlight w:val="none"/>
        </w:rPr>
        <w:t>立方米降至</w:t>
      </w:r>
      <w:r>
        <w:rPr>
          <w:rFonts w:eastAsia="仿宋_GB2312"/>
          <w:bCs/>
          <w:color w:val="auto"/>
          <w:highlight w:val="none"/>
        </w:rPr>
        <w:t>3</w:t>
      </w:r>
      <w:r>
        <w:rPr>
          <w:rFonts w:hint="eastAsia" w:eastAsia="仿宋_GB2312"/>
          <w:bCs/>
          <w:color w:val="auto"/>
          <w:highlight w:val="none"/>
          <w:lang w:val="en-US" w:eastAsia="zh-CN"/>
        </w:rPr>
        <w:t>4</w:t>
      </w:r>
      <w:r>
        <w:rPr>
          <w:rFonts w:hint="eastAsia" w:eastAsia="仿宋_GB2312"/>
          <w:bCs/>
          <w:color w:val="auto"/>
          <w:highlight w:val="none"/>
        </w:rPr>
        <w:t>微克</w:t>
      </w:r>
      <w:r>
        <w:rPr>
          <w:rFonts w:eastAsia="仿宋_GB2312"/>
          <w:bCs/>
          <w:color w:val="auto"/>
          <w:highlight w:val="none"/>
        </w:rPr>
        <w:t>/</w:t>
      </w:r>
      <w:r>
        <w:rPr>
          <w:rFonts w:hint="eastAsia" w:eastAsia="仿宋_GB2312"/>
          <w:bCs/>
          <w:color w:val="auto"/>
          <w:highlight w:val="none"/>
        </w:rPr>
        <w:t>立方米，</w:t>
      </w:r>
      <w:r>
        <w:rPr>
          <w:rFonts w:hint="eastAsia" w:eastAsia="仿宋_GB2312"/>
          <w:bCs/>
          <w:color w:val="auto"/>
          <w:highlight w:val="none"/>
          <w:lang w:eastAsia="zh-CN"/>
        </w:rPr>
        <w:t>环境空气质量</w:t>
      </w:r>
      <w:r>
        <w:rPr>
          <w:rFonts w:hint="eastAsia" w:eastAsia="仿宋_GB2312"/>
          <w:bCs/>
          <w:color w:val="auto"/>
          <w:highlight w:val="none"/>
        </w:rPr>
        <w:t>达到国家二级标准，二氧化硫、氮氧化物等污染物提前完成</w:t>
      </w:r>
      <w:r>
        <w:rPr>
          <w:rFonts w:hint="eastAsia" w:eastAsia="仿宋_GB2312"/>
          <w:bCs/>
          <w:color w:val="auto"/>
          <w:highlight w:val="none"/>
          <w:lang w:eastAsia="zh-CN"/>
        </w:rPr>
        <w:t>“</w:t>
      </w:r>
      <w:r>
        <w:rPr>
          <w:rFonts w:hint="eastAsia" w:eastAsia="仿宋_GB2312"/>
          <w:bCs/>
          <w:color w:val="auto"/>
          <w:highlight w:val="none"/>
        </w:rPr>
        <w:t>十三五</w:t>
      </w:r>
      <w:r>
        <w:rPr>
          <w:rFonts w:hint="eastAsia" w:eastAsia="仿宋_GB2312"/>
          <w:bCs/>
          <w:color w:val="auto"/>
          <w:highlight w:val="none"/>
          <w:lang w:eastAsia="zh-CN"/>
        </w:rPr>
        <w:t>”</w:t>
      </w:r>
      <w:r>
        <w:rPr>
          <w:rFonts w:hint="eastAsia" w:eastAsia="仿宋_GB2312"/>
          <w:bCs/>
          <w:color w:val="auto"/>
          <w:highlight w:val="none"/>
        </w:rPr>
        <w:t>总体减排目标</w:t>
      </w:r>
      <w:r>
        <w:rPr>
          <w:rFonts w:hint="eastAsia" w:eastAsia="仿宋_GB2312"/>
          <w:bCs/>
          <w:color w:val="auto"/>
          <w:highlight w:val="none"/>
          <w:lang w:eastAsia="zh-CN"/>
        </w:rPr>
        <w:t>。</w:t>
      </w:r>
      <w:r>
        <w:rPr>
          <w:rFonts w:hint="eastAsia" w:eastAsia="仿宋_GB2312"/>
          <w:bCs/>
          <w:color w:val="auto"/>
          <w:highlight w:val="none"/>
        </w:rPr>
        <w:t>全市地表水水质国省考核断面、饮用水水源地水质、地下水监测点位水质达标率实现三个</w:t>
      </w:r>
      <w:r>
        <w:rPr>
          <w:rFonts w:eastAsia="仿宋_GB2312"/>
          <w:bCs/>
          <w:color w:val="auto"/>
          <w:highlight w:val="none"/>
        </w:rPr>
        <w:t>100%</w:t>
      </w:r>
      <w:r>
        <w:rPr>
          <w:rFonts w:hint="eastAsia" w:eastAsia="仿宋_GB2312"/>
          <w:bCs/>
          <w:color w:val="auto"/>
          <w:highlight w:val="none"/>
        </w:rPr>
        <w:t>，成功消灭重点河流劣五类水体和城市黑臭水体，近岸海域全部达到一类海水水质，主要入海河流达到水功能区要求，戴河、汤河、石河被评为全省秀美河湖</w:t>
      </w:r>
      <w:r>
        <w:rPr>
          <w:rFonts w:hint="eastAsia" w:eastAsia="仿宋_GB2312"/>
          <w:bCs/>
          <w:color w:val="auto"/>
          <w:highlight w:val="none"/>
          <w:lang w:eastAsia="zh-CN"/>
        </w:rPr>
        <w:t>。</w:t>
      </w:r>
      <w:r>
        <w:rPr>
          <w:rFonts w:hint="eastAsia" w:eastAsia="仿宋_GB2312"/>
          <w:bCs/>
          <w:color w:val="auto"/>
          <w:highlight w:val="none"/>
        </w:rPr>
        <w:t>加强全市露天矿山污染综合整治，修复责任主体灭失矿山</w:t>
      </w:r>
      <w:r>
        <w:rPr>
          <w:rFonts w:eastAsia="仿宋_GB2312"/>
          <w:bCs/>
          <w:color w:val="auto"/>
          <w:highlight w:val="none"/>
        </w:rPr>
        <w:t>272</w:t>
      </w:r>
      <w:r>
        <w:rPr>
          <w:rFonts w:hint="eastAsia" w:eastAsia="仿宋_GB2312"/>
          <w:bCs/>
          <w:color w:val="auto"/>
          <w:highlight w:val="none"/>
        </w:rPr>
        <w:t>处，面积</w:t>
      </w:r>
      <w:r>
        <w:rPr>
          <w:rFonts w:eastAsia="仿宋_GB2312"/>
          <w:bCs/>
          <w:color w:val="auto"/>
          <w:highlight w:val="none"/>
        </w:rPr>
        <w:t>16937</w:t>
      </w:r>
      <w:r>
        <w:rPr>
          <w:rFonts w:hint="eastAsia" w:eastAsia="仿宋_GB2312"/>
          <w:bCs/>
          <w:color w:val="auto"/>
          <w:highlight w:val="none"/>
        </w:rPr>
        <w:t>亩</w:t>
      </w:r>
      <w:r>
        <w:rPr>
          <w:rFonts w:hint="eastAsia" w:eastAsia="仿宋_GB2312"/>
          <w:bCs/>
          <w:color w:val="auto"/>
          <w:highlight w:val="none"/>
          <w:lang w:eastAsia="zh-CN"/>
        </w:rPr>
        <w:t>。</w:t>
      </w:r>
      <w:r>
        <w:rPr>
          <w:rFonts w:hint="eastAsia" w:eastAsia="仿宋_GB2312"/>
          <w:bCs/>
          <w:color w:val="auto"/>
          <w:highlight w:val="none"/>
        </w:rPr>
        <w:t>大力开展植树造林，</w:t>
      </w:r>
      <w:r>
        <w:rPr>
          <w:rFonts w:eastAsia="仿宋_GB2312"/>
          <w:bCs/>
          <w:color w:val="auto"/>
          <w:highlight w:val="none"/>
        </w:rPr>
        <w:t>5</w:t>
      </w:r>
      <w:r>
        <w:rPr>
          <w:rFonts w:hint="eastAsia" w:eastAsia="仿宋_GB2312"/>
          <w:bCs/>
          <w:color w:val="auto"/>
          <w:highlight w:val="none"/>
        </w:rPr>
        <w:t>年累计完成营造林面积</w:t>
      </w:r>
      <w:r>
        <w:rPr>
          <w:rFonts w:eastAsia="仿宋_GB2312"/>
          <w:bCs/>
          <w:color w:val="auto"/>
          <w:highlight w:val="none"/>
        </w:rPr>
        <w:t>236</w:t>
      </w:r>
      <w:r>
        <w:rPr>
          <w:rFonts w:hint="eastAsia" w:eastAsia="仿宋_GB2312"/>
          <w:bCs/>
          <w:color w:val="auto"/>
          <w:highlight w:val="none"/>
        </w:rPr>
        <w:t>万亩，林木覆盖率由</w:t>
      </w:r>
      <w:r>
        <w:rPr>
          <w:rFonts w:eastAsia="仿宋_GB2312"/>
          <w:bCs/>
          <w:color w:val="auto"/>
          <w:highlight w:val="none"/>
        </w:rPr>
        <w:t>2015</w:t>
      </w:r>
      <w:r>
        <w:rPr>
          <w:rFonts w:hint="eastAsia" w:eastAsia="仿宋_GB2312"/>
          <w:bCs/>
          <w:color w:val="auto"/>
          <w:highlight w:val="none"/>
        </w:rPr>
        <w:t>年末的</w:t>
      </w:r>
      <w:r>
        <w:rPr>
          <w:rFonts w:eastAsia="仿宋_GB2312"/>
          <w:bCs/>
          <w:color w:val="auto"/>
          <w:highlight w:val="none"/>
        </w:rPr>
        <w:t>45%</w:t>
      </w:r>
      <w:r>
        <w:rPr>
          <w:rFonts w:hint="eastAsia" w:eastAsia="仿宋_GB2312"/>
          <w:bCs/>
          <w:color w:val="auto"/>
          <w:highlight w:val="none"/>
        </w:rPr>
        <w:t>提高到目前的</w:t>
      </w:r>
      <w:r>
        <w:rPr>
          <w:rFonts w:eastAsia="仿宋_GB2312"/>
          <w:bCs/>
          <w:color w:val="auto"/>
          <w:highlight w:val="none"/>
        </w:rPr>
        <w:t>60</w:t>
      </w:r>
      <w:r>
        <w:rPr>
          <w:rFonts w:hint="eastAsia" w:eastAsia="仿宋_GB2312"/>
          <w:bCs/>
          <w:color w:val="auto"/>
          <w:highlight w:val="none"/>
        </w:rPr>
        <w:t>％，位居全省第二位，荣获国家森林城市称号，京津冀生态标兵城市渐行渐近。</w:t>
      </w:r>
      <w:r>
        <w:rPr>
          <w:rFonts w:hint="eastAsia" w:eastAsia="仿宋_GB2312"/>
          <w:b/>
          <w:bCs/>
          <w:color w:val="auto"/>
          <w:highlight w:val="none"/>
        </w:rPr>
        <w:t>重大风险得到有效防范化解，</w:t>
      </w:r>
      <w:r>
        <w:rPr>
          <w:rFonts w:hint="eastAsia" w:eastAsia="仿宋_GB2312"/>
          <w:bCs/>
          <w:color w:val="auto"/>
          <w:highlight w:val="none"/>
        </w:rPr>
        <w:t>建立完善风险防控机制，依法依规排查整治金融、政府债务、房地产等领域风险隐患，关停非法从事金融业务企业</w:t>
      </w:r>
      <w:r>
        <w:rPr>
          <w:rFonts w:eastAsia="仿宋_GB2312"/>
          <w:bCs/>
          <w:color w:val="auto"/>
          <w:highlight w:val="none"/>
        </w:rPr>
        <w:t>5</w:t>
      </w:r>
      <w:r>
        <w:rPr>
          <w:rFonts w:hint="eastAsia" w:eastAsia="仿宋_GB2312"/>
          <w:bCs/>
          <w:color w:val="auto"/>
          <w:highlight w:val="none"/>
        </w:rPr>
        <w:t>家，实现本市</w:t>
      </w:r>
      <w:r>
        <w:rPr>
          <w:rFonts w:eastAsia="仿宋_GB2312"/>
          <w:bCs/>
          <w:color w:val="auto"/>
          <w:highlight w:val="none"/>
        </w:rPr>
        <w:t>P2P</w:t>
      </w:r>
      <w:r>
        <w:rPr>
          <w:rFonts w:hint="eastAsia" w:eastAsia="仿宋_GB2312"/>
          <w:bCs/>
          <w:color w:val="auto"/>
          <w:highlight w:val="none"/>
        </w:rPr>
        <w:t>网贷平台清零目标</w:t>
      </w:r>
      <w:r>
        <w:rPr>
          <w:rFonts w:hint="eastAsia" w:eastAsia="仿宋_GB2312"/>
          <w:bCs/>
          <w:color w:val="auto"/>
          <w:highlight w:val="none"/>
          <w:lang w:eastAsia="zh-CN"/>
        </w:rPr>
        <w:t>。</w:t>
      </w:r>
      <w:r>
        <w:rPr>
          <w:rFonts w:hint="eastAsia" w:eastAsia="仿宋_GB2312"/>
          <w:bCs/>
          <w:color w:val="auto"/>
          <w:highlight w:val="none"/>
        </w:rPr>
        <w:t>房地产市场平稳健康发展，积累多年的</w:t>
      </w:r>
      <w:r>
        <w:rPr>
          <w:rFonts w:hint="eastAsia" w:eastAsia="仿宋_GB2312"/>
          <w:color w:val="auto"/>
          <w:highlight w:val="none"/>
        </w:rPr>
        <w:t>房地产遗留问题基本清零</w:t>
      </w:r>
      <w:r>
        <w:rPr>
          <w:rFonts w:hint="eastAsia" w:eastAsia="仿宋_GB2312"/>
          <w:color w:val="auto"/>
          <w:highlight w:val="none"/>
          <w:lang w:eastAsia="zh-CN"/>
        </w:rPr>
        <w:t>。</w:t>
      </w:r>
      <w:r>
        <w:rPr>
          <w:rFonts w:hint="eastAsia" w:eastAsia="仿宋_GB2312"/>
          <w:bCs/>
          <w:color w:val="auto"/>
          <w:highlight w:val="none"/>
        </w:rPr>
        <w:t>政府债务结构全面优化，偿还债务本息</w:t>
      </w:r>
      <w:r>
        <w:rPr>
          <w:rFonts w:eastAsia="仿宋_GB2312"/>
          <w:bCs/>
          <w:color w:val="auto"/>
          <w:highlight w:val="none"/>
        </w:rPr>
        <w:t>110.2</w:t>
      </w:r>
      <w:r>
        <w:rPr>
          <w:rFonts w:hint="eastAsia" w:eastAsia="仿宋_GB2312"/>
          <w:bCs/>
          <w:color w:val="auto"/>
          <w:highlight w:val="none"/>
        </w:rPr>
        <w:t>亿元，发行置换债券</w:t>
      </w:r>
      <w:r>
        <w:rPr>
          <w:rFonts w:eastAsia="仿宋_GB2312"/>
          <w:bCs/>
          <w:color w:val="auto"/>
          <w:highlight w:val="none"/>
        </w:rPr>
        <w:t>346.2</w:t>
      </w:r>
      <w:r>
        <w:rPr>
          <w:rFonts w:hint="eastAsia" w:eastAsia="仿宋_GB2312"/>
          <w:bCs/>
          <w:color w:val="auto"/>
          <w:highlight w:val="none"/>
        </w:rPr>
        <w:t>亿元，争取再融资债券</w:t>
      </w:r>
      <w:r>
        <w:rPr>
          <w:rFonts w:eastAsia="仿宋_GB2312"/>
          <w:bCs/>
          <w:color w:val="auto"/>
          <w:highlight w:val="none"/>
        </w:rPr>
        <w:t>172</w:t>
      </w:r>
      <w:r>
        <w:rPr>
          <w:rFonts w:hint="eastAsia" w:eastAsia="仿宋_GB2312"/>
          <w:bCs/>
          <w:color w:val="auto"/>
          <w:highlight w:val="none"/>
        </w:rPr>
        <w:t>亿元，政府债务实现长债变短债，高息变低息，守住了不发生区域性系统性风险的底线。</w:t>
      </w:r>
    </w:p>
    <w:p w14:paraId="1F7B98F0">
      <w:pPr>
        <w:spacing w:line="560" w:lineRule="exact"/>
        <w:ind w:firstLine="640" w:firstLineChars="200"/>
        <w:outlineLvl w:val="2"/>
        <w:rPr>
          <w:b w:val="0"/>
          <w:bCs w:val="0"/>
          <w:color w:val="auto"/>
          <w:highlight w:val="none"/>
        </w:rPr>
      </w:pPr>
      <w:bookmarkStart w:id="118" w:name="_Toc14985"/>
      <w:bookmarkStart w:id="119" w:name="_Toc17745"/>
      <w:bookmarkStart w:id="120" w:name="_Toc26314"/>
      <w:r>
        <w:rPr>
          <w:rFonts w:hint="eastAsia"/>
          <w:b w:val="0"/>
          <w:bCs w:val="0"/>
          <w:color w:val="auto"/>
          <w:highlight w:val="none"/>
        </w:rPr>
        <w:t>（四）</w:t>
      </w:r>
      <w:bookmarkEnd w:id="118"/>
      <w:r>
        <w:rPr>
          <w:rFonts w:hint="eastAsia"/>
          <w:b w:val="0"/>
          <w:bCs w:val="0"/>
          <w:color w:val="auto"/>
          <w:highlight w:val="none"/>
        </w:rPr>
        <w:t>改革开放创新活力迸发</w:t>
      </w:r>
      <w:bookmarkEnd w:id="119"/>
      <w:bookmarkEnd w:id="120"/>
    </w:p>
    <w:p w14:paraId="1CACCF42">
      <w:pPr>
        <w:spacing w:line="560" w:lineRule="exact"/>
        <w:ind w:firstLine="640" w:firstLineChars="200"/>
        <w:rPr>
          <w:rFonts w:eastAsia="仿宋_GB2312"/>
          <w:color w:val="auto"/>
          <w:highlight w:val="none"/>
        </w:rPr>
      </w:pPr>
      <w:r>
        <w:rPr>
          <w:rFonts w:hint="eastAsia" w:eastAsia="仿宋_GB2312"/>
          <w:color w:val="auto"/>
          <w:highlight w:val="none"/>
        </w:rPr>
        <w:t>坚持在改革创新、开放合作中加快新旧动能转化，</w:t>
      </w:r>
      <w:r>
        <w:rPr>
          <w:rFonts w:hint="eastAsia" w:eastAsia="仿宋_GB2312"/>
          <w:color w:val="auto"/>
          <w:highlight w:val="none"/>
          <w:lang w:eastAsia="zh-CN"/>
        </w:rPr>
        <w:t>持续改善营商环境，</w:t>
      </w:r>
      <w:r>
        <w:rPr>
          <w:rFonts w:hint="eastAsia" w:eastAsia="仿宋_GB2312"/>
          <w:color w:val="auto"/>
          <w:highlight w:val="none"/>
        </w:rPr>
        <w:t>激发高质量发展动力活力。</w:t>
      </w:r>
      <w:r>
        <w:rPr>
          <w:rFonts w:hint="eastAsia" w:eastAsia="仿宋_GB2312"/>
          <w:b/>
          <w:color w:val="auto"/>
          <w:highlight w:val="none"/>
        </w:rPr>
        <w:t>改革深化塑造竞争新优势，</w:t>
      </w:r>
      <w:r>
        <w:rPr>
          <w:rFonts w:hint="eastAsia" w:eastAsia="仿宋_GB2312"/>
          <w:color w:val="auto"/>
          <w:highlight w:val="none"/>
        </w:rPr>
        <w:t>在全省率先推行城市管理综合执法、海洋和渔业管理体制改革，率先完成</w:t>
      </w:r>
      <w:r>
        <w:rPr>
          <w:rFonts w:eastAsia="仿宋_GB2312"/>
          <w:color w:val="auto"/>
          <w:highlight w:val="none"/>
        </w:rPr>
        <w:t>58</w:t>
      </w:r>
      <w:r>
        <w:rPr>
          <w:rFonts w:hint="eastAsia" w:eastAsia="仿宋_GB2312"/>
          <w:color w:val="auto"/>
          <w:highlight w:val="none"/>
        </w:rPr>
        <w:t>证合一和</w:t>
      </w:r>
      <w:r>
        <w:rPr>
          <w:rFonts w:hint="eastAsia" w:eastAsia="仿宋_GB2312"/>
          <w:color w:val="auto"/>
          <w:highlight w:val="none"/>
          <w:lang w:eastAsia="zh-CN"/>
        </w:rPr>
        <w:t>“</w:t>
      </w:r>
      <w:r>
        <w:rPr>
          <w:rFonts w:hint="eastAsia" w:eastAsia="仿宋_GB2312"/>
          <w:color w:val="auto"/>
          <w:highlight w:val="none"/>
        </w:rPr>
        <w:t>一窗通、零成本、即时办</w:t>
      </w:r>
      <w:r>
        <w:rPr>
          <w:rFonts w:hint="eastAsia" w:eastAsia="仿宋_GB2312"/>
          <w:color w:val="auto"/>
          <w:highlight w:val="none"/>
          <w:lang w:eastAsia="zh-CN"/>
        </w:rPr>
        <w:t>”</w:t>
      </w:r>
      <w:r>
        <w:rPr>
          <w:rFonts w:hint="eastAsia" w:eastAsia="仿宋_GB2312"/>
          <w:color w:val="auto"/>
          <w:highlight w:val="none"/>
        </w:rPr>
        <w:t>，率先实现企业开办一日办结</w:t>
      </w:r>
      <w:r>
        <w:rPr>
          <w:rFonts w:hint="eastAsia" w:eastAsia="仿宋_GB2312"/>
          <w:color w:val="auto"/>
          <w:highlight w:val="none"/>
          <w:lang w:eastAsia="zh-CN"/>
        </w:rPr>
        <w:t>、</w:t>
      </w:r>
      <w:r>
        <w:rPr>
          <w:rFonts w:hint="eastAsia" w:eastAsia="仿宋_GB2312"/>
          <w:color w:val="auto"/>
          <w:highlight w:val="none"/>
        </w:rPr>
        <w:t>施工许可电子证书全覆盖，首推投标保证金担保电子函，社会信用工作在全国</w:t>
      </w:r>
      <w:r>
        <w:rPr>
          <w:rFonts w:eastAsia="仿宋_GB2312"/>
          <w:color w:val="auto"/>
          <w:highlight w:val="none"/>
        </w:rPr>
        <w:t>261</w:t>
      </w:r>
      <w:r>
        <w:rPr>
          <w:rFonts w:hint="eastAsia" w:eastAsia="仿宋_GB2312"/>
          <w:color w:val="auto"/>
          <w:highlight w:val="none"/>
        </w:rPr>
        <w:t>个地级市中排名由</w:t>
      </w:r>
      <w:r>
        <w:rPr>
          <w:rFonts w:eastAsia="仿宋_GB2312"/>
          <w:color w:val="auto"/>
          <w:highlight w:val="none"/>
        </w:rPr>
        <w:t>235</w:t>
      </w:r>
      <w:r>
        <w:rPr>
          <w:rFonts w:hint="eastAsia" w:eastAsia="仿宋_GB2312"/>
          <w:color w:val="auto"/>
          <w:highlight w:val="none"/>
        </w:rPr>
        <w:t>名跃升至</w:t>
      </w:r>
      <w:r>
        <w:rPr>
          <w:rFonts w:hint="eastAsia" w:eastAsia="仿宋_GB2312"/>
          <w:color w:val="auto"/>
          <w:highlight w:val="none"/>
          <w:lang w:val="en-US" w:eastAsia="zh-CN"/>
        </w:rPr>
        <w:t>45</w:t>
      </w:r>
      <w:r>
        <w:rPr>
          <w:rFonts w:hint="eastAsia" w:eastAsia="仿宋_GB2312"/>
          <w:color w:val="auto"/>
          <w:highlight w:val="none"/>
        </w:rPr>
        <w:t>名</w:t>
      </w:r>
      <w:r>
        <w:rPr>
          <w:rFonts w:hint="eastAsia" w:eastAsia="仿宋_GB2312"/>
          <w:color w:val="auto"/>
          <w:highlight w:val="none"/>
          <w:lang w:eastAsia="zh-CN"/>
        </w:rPr>
        <w:t>。</w:t>
      </w:r>
      <w:r>
        <w:rPr>
          <w:rFonts w:eastAsia="仿宋_GB2312"/>
          <w:color w:val="auto"/>
          <w:highlight w:val="none"/>
        </w:rPr>
        <w:t>13</w:t>
      </w:r>
      <w:r>
        <w:rPr>
          <w:rFonts w:hint="eastAsia" w:eastAsia="仿宋_GB2312"/>
          <w:color w:val="auto"/>
          <w:highlight w:val="none"/>
        </w:rPr>
        <w:t>家市属国有企业改制退出，</w:t>
      </w:r>
      <w:r>
        <w:rPr>
          <w:rFonts w:eastAsia="仿宋_GB2312"/>
          <w:color w:val="auto"/>
          <w:highlight w:val="none"/>
        </w:rPr>
        <w:t>10</w:t>
      </w:r>
      <w:r>
        <w:rPr>
          <w:rFonts w:hint="eastAsia" w:eastAsia="仿宋_GB2312"/>
          <w:color w:val="auto"/>
          <w:highlight w:val="none"/>
        </w:rPr>
        <w:t>家全民所有制企业完成公司制改制，</w:t>
      </w:r>
      <w:r>
        <w:rPr>
          <w:rFonts w:eastAsia="仿宋_GB2312"/>
          <w:color w:val="auto"/>
          <w:highlight w:val="none"/>
        </w:rPr>
        <w:t>52</w:t>
      </w:r>
      <w:r>
        <w:rPr>
          <w:rFonts w:hint="eastAsia" w:eastAsia="仿宋_GB2312"/>
          <w:color w:val="auto"/>
          <w:highlight w:val="none"/>
        </w:rPr>
        <w:t>家市属国有</w:t>
      </w:r>
      <w:r>
        <w:rPr>
          <w:rFonts w:hint="eastAsia" w:eastAsia="仿宋_GB2312"/>
          <w:color w:val="auto"/>
          <w:highlight w:val="none"/>
          <w:lang w:eastAsia="zh-CN"/>
        </w:rPr>
        <w:t>“</w:t>
      </w:r>
      <w:r>
        <w:rPr>
          <w:rFonts w:hint="eastAsia" w:eastAsia="仿宋_GB2312"/>
          <w:color w:val="auto"/>
          <w:highlight w:val="none"/>
        </w:rPr>
        <w:t>僵尸</w:t>
      </w:r>
      <w:r>
        <w:rPr>
          <w:rFonts w:hint="eastAsia" w:eastAsia="仿宋_GB2312"/>
          <w:color w:val="auto"/>
          <w:highlight w:val="none"/>
          <w:lang w:eastAsia="zh-CN"/>
        </w:rPr>
        <w:t>”</w:t>
      </w:r>
      <w:r>
        <w:rPr>
          <w:rFonts w:hint="eastAsia" w:eastAsia="仿宋_GB2312"/>
          <w:color w:val="auto"/>
          <w:highlight w:val="none"/>
        </w:rPr>
        <w:t>企业全部注销，市属经营性国有资产实现集中统一监管，国有企业退休人员社会化管理工作经验做法被国务院国资委推广</w:t>
      </w:r>
      <w:r>
        <w:rPr>
          <w:rFonts w:hint="eastAsia" w:eastAsia="仿宋_GB2312"/>
          <w:color w:val="auto"/>
          <w:highlight w:val="none"/>
          <w:lang w:eastAsia="zh-CN"/>
        </w:rPr>
        <w:t>。</w:t>
      </w:r>
      <w:r>
        <w:rPr>
          <w:rFonts w:hint="eastAsia" w:eastAsia="仿宋_GB2312"/>
          <w:color w:val="auto"/>
          <w:highlight w:val="none"/>
        </w:rPr>
        <w:t>全市</w:t>
      </w:r>
      <w:r>
        <w:rPr>
          <w:rFonts w:eastAsia="仿宋_GB2312"/>
          <w:color w:val="auto"/>
          <w:highlight w:val="none"/>
        </w:rPr>
        <w:t>2288</w:t>
      </w:r>
      <w:r>
        <w:rPr>
          <w:rFonts w:hint="eastAsia" w:eastAsia="仿宋_GB2312"/>
          <w:color w:val="auto"/>
          <w:highlight w:val="none"/>
        </w:rPr>
        <w:t>个单位农村集体产权制度改革全部完成，全市土地流转率提高到</w:t>
      </w:r>
      <w:r>
        <w:rPr>
          <w:rFonts w:eastAsia="仿宋_GB2312"/>
          <w:color w:val="auto"/>
          <w:highlight w:val="none"/>
        </w:rPr>
        <w:t>41.7%</w:t>
      </w:r>
      <w:r>
        <w:rPr>
          <w:rFonts w:hint="eastAsia" w:eastAsia="仿宋_GB2312"/>
          <w:color w:val="auto"/>
          <w:highlight w:val="none"/>
        </w:rPr>
        <w:t>，林权流转经营面积</w:t>
      </w:r>
      <w:r>
        <w:rPr>
          <w:rFonts w:eastAsia="仿宋_GB2312"/>
          <w:color w:val="auto"/>
          <w:highlight w:val="none"/>
        </w:rPr>
        <w:t>12.3</w:t>
      </w:r>
      <w:r>
        <w:rPr>
          <w:rFonts w:hint="eastAsia" w:eastAsia="仿宋_GB2312"/>
          <w:color w:val="auto"/>
          <w:highlight w:val="none"/>
        </w:rPr>
        <w:t>万亩，全市农民合作社发展到</w:t>
      </w:r>
      <w:r>
        <w:rPr>
          <w:rFonts w:eastAsia="仿宋_GB2312"/>
          <w:color w:val="auto"/>
          <w:highlight w:val="none"/>
        </w:rPr>
        <w:t>2667</w:t>
      </w:r>
      <w:r>
        <w:rPr>
          <w:rFonts w:hint="eastAsia" w:eastAsia="仿宋_GB2312"/>
          <w:color w:val="auto"/>
          <w:highlight w:val="none"/>
        </w:rPr>
        <w:t>家，所有村庄基本实现合作社全覆盖，家庭农场发展到</w:t>
      </w:r>
      <w:r>
        <w:rPr>
          <w:rFonts w:eastAsia="仿宋_GB2312"/>
          <w:color w:val="auto"/>
          <w:highlight w:val="none"/>
        </w:rPr>
        <w:t>1178</w:t>
      </w:r>
      <w:r>
        <w:rPr>
          <w:rFonts w:hint="eastAsia" w:eastAsia="仿宋_GB2312"/>
          <w:color w:val="auto"/>
          <w:highlight w:val="none"/>
        </w:rPr>
        <w:t>家</w:t>
      </w:r>
      <w:r>
        <w:rPr>
          <w:rFonts w:hint="eastAsia" w:eastAsia="仿宋_GB2312"/>
          <w:color w:val="auto"/>
          <w:highlight w:val="none"/>
          <w:lang w:eastAsia="zh-CN"/>
        </w:rPr>
        <w:t>。</w:t>
      </w:r>
      <w:r>
        <w:rPr>
          <w:rFonts w:hint="eastAsia" w:eastAsia="仿宋_GB2312"/>
          <w:color w:val="auto"/>
          <w:highlight w:val="none"/>
        </w:rPr>
        <w:t>开发区人事薪酬制度、投融资平台建设等改革</w:t>
      </w:r>
      <w:r>
        <w:rPr>
          <w:rFonts w:hint="eastAsia" w:eastAsia="仿宋_GB2312"/>
          <w:color w:val="auto"/>
          <w:highlight w:val="none"/>
          <w:lang w:eastAsia="zh-CN"/>
        </w:rPr>
        <w:t>稳步</w:t>
      </w:r>
      <w:r>
        <w:rPr>
          <w:rFonts w:hint="eastAsia" w:eastAsia="仿宋_GB2312"/>
          <w:color w:val="auto"/>
          <w:highlight w:val="none"/>
        </w:rPr>
        <w:t>推进。</w:t>
      </w:r>
      <w:r>
        <w:rPr>
          <w:rFonts w:hint="eastAsia" w:eastAsia="仿宋_GB2312"/>
          <w:b/>
          <w:color w:val="auto"/>
          <w:highlight w:val="none"/>
        </w:rPr>
        <w:t>开放合作拓展发展新空间，</w:t>
      </w:r>
      <w:r>
        <w:rPr>
          <w:rFonts w:hint="eastAsia" w:eastAsia="仿宋_GB2312"/>
          <w:color w:val="auto"/>
          <w:highlight w:val="none"/>
          <w:lang w:eastAsia="zh-CN"/>
        </w:rPr>
        <w:t>创新招商工作机制，搭建项目投资平台，</w:t>
      </w:r>
      <w:r>
        <w:rPr>
          <w:rFonts w:hint="eastAsia" w:eastAsia="仿宋_GB2312"/>
          <w:color w:val="auto"/>
          <w:highlight w:val="none"/>
        </w:rPr>
        <w:t>中国康养产业发展论坛、康复辅助器具产业创新大会等重大活动成果丰硕</w:t>
      </w:r>
      <w:r>
        <w:rPr>
          <w:rFonts w:hint="eastAsia" w:eastAsia="仿宋_GB2312"/>
          <w:color w:val="auto"/>
          <w:highlight w:val="none"/>
          <w:lang w:eastAsia="zh-CN"/>
        </w:rPr>
        <w:t>。</w:t>
      </w:r>
      <w:r>
        <w:rPr>
          <w:rFonts w:hint="eastAsia" w:eastAsia="仿宋_GB2312"/>
          <w:color w:val="auto"/>
          <w:highlight w:val="none"/>
        </w:rPr>
        <w:t>沧州、张家口等</w:t>
      </w:r>
      <w:r>
        <w:rPr>
          <w:rFonts w:eastAsia="仿宋_GB2312"/>
          <w:color w:val="auto"/>
          <w:highlight w:val="none"/>
        </w:rPr>
        <w:t>4</w:t>
      </w:r>
      <w:r>
        <w:rPr>
          <w:rFonts w:hint="eastAsia" w:eastAsia="仿宋_GB2312"/>
          <w:color w:val="auto"/>
          <w:highlight w:val="none"/>
        </w:rPr>
        <w:t>市银行在我市设立分支机构，昌黎、抚宁等</w:t>
      </w:r>
      <w:r>
        <w:rPr>
          <w:rFonts w:eastAsia="仿宋_GB2312"/>
          <w:color w:val="auto"/>
          <w:highlight w:val="none"/>
        </w:rPr>
        <w:t>4</w:t>
      </w:r>
      <w:r>
        <w:rPr>
          <w:rFonts w:hint="eastAsia" w:eastAsia="仿宋_GB2312"/>
          <w:color w:val="auto"/>
          <w:highlight w:val="none"/>
        </w:rPr>
        <w:t>县区成立村镇银行，渤海证券、安信证券在我市设立营业部，太平洋医疗健康公司北方区域中心落户我市，全市各类资本市场上市挂牌企业达到</w:t>
      </w:r>
      <w:r>
        <w:rPr>
          <w:rFonts w:eastAsia="仿宋_GB2312"/>
          <w:color w:val="auto"/>
          <w:highlight w:val="none"/>
        </w:rPr>
        <w:t>66</w:t>
      </w:r>
      <w:r>
        <w:rPr>
          <w:rFonts w:hint="eastAsia" w:eastAsia="仿宋_GB2312"/>
          <w:color w:val="auto"/>
          <w:highlight w:val="none"/>
        </w:rPr>
        <w:t>家</w:t>
      </w:r>
      <w:r>
        <w:rPr>
          <w:rFonts w:hint="eastAsia" w:eastAsia="仿宋_GB2312"/>
          <w:color w:val="auto"/>
          <w:highlight w:val="none"/>
          <w:lang w:eastAsia="zh-CN"/>
        </w:rPr>
        <w:t>。</w:t>
      </w:r>
      <w:r>
        <w:rPr>
          <w:rFonts w:hint="eastAsia" w:eastAsia="仿宋_GB2312"/>
          <w:color w:val="auto"/>
          <w:highlight w:val="none"/>
        </w:rPr>
        <w:t>京津冀协同发展向纵深拓展，北戴河国家级生命健康产业创新示范区获批成立，国家区域医疗中心建设全面启动，北京威卡威北方研发生产基地建成投产，北控集团对我市</w:t>
      </w:r>
      <w:r>
        <w:rPr>
          <w:rFonts w:hint="eastAsia" w:eastAsia="仿宋_GB2312"/>
          <w:color w:val="auto"/>
          <w:highlight w:val="none"/>
          <w:shd w:val="clear" w:color="auto" w:fill="FFFFFF"/>
        </w:rPr>
        <w:t>污水污泥处理项目整体打包建管，</w:t>
      </w:r>
      <w:r>
        <w:rPr>
          <w:rFonts w:hint="eastAsia" w:eastAsia="仿宋_GB2312"/>
          <w:color w:val="auto"/>
          <w:highlight w:val="none"/>
        </w:rPr>
        <w:t>首创集团与我市深入开展大气污染防治综合服务战略合作，北京能源集团投资建设京能秦皇岛热电联产项目，河北省建投公司在我市开展全方位全产业战略性投资</w:t>
      </w:r>
      <w:r>
        <w:rPr>
          <w:rFonts w:hint="eastAsia" w:eastAsia="仿宋_GB2312"/>
          <w:color w:val="auto"/>
          <w:highlight w:val="none"/>
          <w:lang w:eastAsia="zh-CN"/>
        </w:rPr>
        <w:t>。秦皇岛经济技术开发区连续</w:t>
      </w:r>
      <w:r>
        <w:rPr>
          <w:rFonts w:hint="eastAsia" w:eastAsia="仿宋_GB2312"/>
          <w:color w:val="auto"/>
          <w:highlight w:val="none"/>
          <w:lang w:val="en-US" w:eastAsia="zh-CN"/>
        </w:rPr>
        <w:t>8年在全省测评中位居第一，</w:t>
      </w:r>
      <w:r>
        <w:rPr>
          <w:rFonts w:hint="eastAsia" w:eastAsia="仿宋_GB2312"/>
          <w:color w:val="auto"/>
          <w:highlight w:val="none"/>
        </w:rPr>
        <w:t>出口加工区升级为综合保税区，秦皇岛港成为国家水果、粮食指定口岸，开通韩中蒙国际海铁联运集装箱班列和至菲律宾达沃直航航线，中信戴卡公司等优势企业在国外布局建设研发生产基地，秦冶重工公司成为全省</w:t>
      </w:r>
      <w:r>
        <w:rPr>
          <w:rFonts w:hint="eastAsia" w:eastAsia="仿宋_GB2312"/>
          <w:color w:val="auto"/>
          <w:highlight w:val="none"/>
          <w:lang w:eastAsia="zh-CN"/>
        </w:rPr>
        <w:t>“</w:t>
      </w:r>
      <w:r>
        <w:rPr>
          <w:rFonts w:hint="eastAsia" w:eastAsia="仿宋_GB2312"/>
          <w:color w:val="auto"/>
          <w:highlight w:val="none"/>
        </w:rPr>
        <w:t>走出去</w:t>
      </w:r>
      <w:r>
        <w:rPr>
          <w:rFonts w:hint="eastAsia" w:eastAsia="仿宋_GB2312"/>
          <w:color w:val="auto"/>
          <w:highlight w:val="none"/>
          <w:lang w:eastAsia="zh-CN"/>
        </w:rPr>
        <w:t>”</w:t>
      </w:r>
      <w:r>
        <w:rPr>
          <w:rFonts w:hint="eastAsia" w:eastAsia="仿宋_GB2312"/>
          <w:color w:val="auto"/>
          <w:highlight w:val="none"/>
        </w:rPr>
        <w:t>工程承包标杆企业</w:t>
      </w:r>
      <w:r>
        <w:rPr>
          <w:rFonts w:hint="eastAsia" w:eastAsia="仿宋_GB2312"/>
          <w:color w:val="auto"/>
          <w:highlight w:val="none"/>
          <w:lang w:eastAsia="zh-CN"/>
        </w:rPr>
        <w:t>。</w:t>
      </w:r>
      <w:r>
        <w:rPr>
          <w:rFonts w:hint="eastAsia" w:eastAsia="仿宋_GB2312"/>
          <w:color w:val="auto"/>
          <w:highlight w:val="none"/>
        </w:rPr>
        <w:t>全市</w:t>
      </w:r>
      <w:r>
        <w:rPr>
          <w:rFonts w:hint="eastAsia" w:eastAsia="仿宋_GB2312"/>
          <w:color w:val="auto"/>
          <w:highlight w:val="none"/>
          <w:lang w:eastAsia="zh-CN"/>
        </w:rPr>
        <w:t>累计</w:t>
      </w:r>
      <w:r>
        <w:rPr>
          <w:rFonts w:hint="eastAsia" w:eastAsia="仿宋_GB2312"/>
          <w:color w:val="auto"/>
          <w:highlight w:val="none"/>
        </w:rPr>
        <w:t>实际利用外资</w:t>
      </w:r>
      <w:r>
        <w:rPr>
          <w:rFonts w:hint="eastAsia" w:eastAsia="仿宋_GB2312"/>
          <w:color w:val="auto"/>
          <w:highlight w:val="none"/>
          <w:lang w:val="en-US" w:eastAsia="zh-CN"/>
        </w:rPr>
        <w:t>55.59</w:t>
      </w:r>
      <w:r>
        <w:rPr>
          <w:rFonts w:hint="eastAsia" w:eastAsia="仿宋_GB2312"/>
          <w:color w:val="auto"/>
          <w:highlight w:val="none"/>
        </w:rPr>
        <w:t>亿美元，年均增长</w:t>
      </w:r>
      <w:r>
        <w:rPr>
          <w:rFonts w:hint="eastAsia" w:eastAsia="仿宋_GB2312"/>
          <w:color w:val="auto"/>
          <w:highlight w:val="none"/>
          <w:lang w:val="en-US" w:eastAsia="zh-CN"/>
        </w:rPr>
        <w:t>9.0</w:t>
      </w:r>
      <w:r>
        <w:rPr>
          <w:rFonts w:eastAsia="仿宋_GB2312"/>
          <w:color w:val="auto"/>
          <w:highlight w:val="none"/>
        </w:rPr>
        <w:t>%</w:t>
      </w:r>
      <w:r>
        <w:rPr>
          <w:rFonts w:hint="eastAsia" w:eastAsia="仿宋_GB2312"/>
          <w:color w:val="auto"/>
          <w:highlight w:val="none"/>
        </w:rPr>
        <w:t>，总量和增幅处于全省前列，外贸进出口</w:t>
      </w:r>
      <w:r>
        <w:rPr>
          <w:rFonts w:hint="eastAsia" w:eastAsia="仿宋_GB2312"/>
          <w:color w:val="auto"/>
          <w:highlight w:val="none"/>
          <w:lang w:eastAsia="zh-CN"/>
        </w:rPr>
        <w:t>累计</w:t>
      </w:r>
      <w:r>
        <w:rPr>
          <w:rFonts w:hint="eastAsia" w:eastAsia="仿宋_GB2312"/>
          <w:color w:val="auto"/>
          <w:highlight w:val="none"/>
        </w:rPr>
        <w:t>完成</w:t>
      </w:r>
      <w:r>
        <w:rPr>
          <w:rFonts w:hint="eastAsia" w:eastAsia="仿宋_GB2312"/>
          <w:color w:val="auto"/>
          <w:highlight w:val="none"/>
          <w:lang w:val="en-US" w:eastAsia="zh-CN"/>
        </w:rPr>
        <w:t>1698.75</w:t>
      </w:r>
      <w:r>
        <w:rPr>
          <w:rFonts w:hint="eastAsia" w:eastAsia="仿宋_GB2312"/>
          <w:color w:val="auto"/>
          <w:highlight w:val="none"/>
        </w:rPr>
        <w:t>亿元，年均增长</w:t>
      </w:r>
      <w:r>
        <w:rPr>
          <w:rFonts w:hint="eastAsia" w:eastAsia="仿宋_GB2312"/>
          <w:color w:val="auto"/>
          <w:highlight w:val="none"/>
          <w:lang w:val="en-US" w:eastAsia="zh-CN"/>
        </w:rPr>
        <w:t>4.7</w:t>
      </w:r>
      <w:r>
        <w:rPr>
          <w:rFonts w:eastAsia="仿宋_GB2312"/>
          <w:color w:val="auto"/>
          <w:highlight w:val="none"/>
        </w:rPr>
        <w:t>%</w:t>
      </w:r>
      <w:r>
        <w:rPr>
          <w:rFonts w:hint="eastAsia" w:eastAsia="仿宋_GB2312"/>
          <w:color w:val="auto"/>
          <w:highlight w:val="none"/>
        </w:rPr>
        <w:t>。</w:t>
      </w:r>
      <w:r>
        <w:rPr>
          <w:rFonts w:hint="eastAsia" w:eastAsia="仿宋_GB2312"/>
          <w:b/>
          <w:color w:val="auto"/>
          <w:highlight w:val="none"/>
        </w:rPr>
        <w:t>科技创新催生发展新动力，</w:t>
      </w:r>
      <w:r>
        <w:rPr>
          <w:rFonts w:hint="eastAsia" w:eastAsia="仿宋_GB2312"/>
          <w:color w:val="auto"/>
          <w:highlight w:val="none"/>
        </w:rPr>
        <w:t>强化科技人才引育，全市专业技术人才、技能人才总量分别达到</w:t>
      </w:r>
      <w:r>
        <w:rPr>
          <w:rFonts w:eastAsia="仿宋_GB2312"/>
          <w:color w:val="auto"/>
          <w:highlight w:val="none"/>
        </w:rPr>
        <w:t>9.19</w:t>
      </w:r>
      <w:r>
        <w:rPr>
          <w:rFonts w:hint="eastAsia" w:eastAsia="仿宋_GB2312"/>
          <w:color w:val="auto"/>
          <w:highlight w:val="none"/>
        </w:rPr>
        <w:t>万人、</w:t>
      </w:r>
      <w:r>
        <w:rPr>
          <w:rFonts w:eastAsia="仿宋_GB2312"/>
          <w:color w:val="auto"/>
          <w:highlight w:val="none"/>
        </w:rPr>
        <w:t>29.7</w:t>
      </w:r>
      <w:r>
        <w:rPr>
          <w:rFonts w:hint="eastAsia" w:eastAsia="仿宋_GB2312"/>
          <w:color w:val="auto"/>
          <w:highlight w:val="none"/>
        </w:rPr>
        <w:t>万人，高级专业技术人才和高技能人才分别占</w:t>
      </w:r>
      <w:r>
        <w:rPr>
          <w:rFonts w:eastAsia="仿宋_GB2312"/>
          <w:color w:val="auto"/>
          <w:highlight w:val="none"/>
        </w:rPr>
        <w:t>22%</w:t>
      </w:r>
      <w:r>
        <w:rPr>
          <w:rFonts w:hint="eastAsia" w:eastAsia="仿宋_GB2312"/>
          <w:color w:val="auto"/>
          <w:highlight w:val="none"/>
        </w:rPr>
        <w:t>和</w:t>
      </w:r>
      <w:r>
        <w:rPr>
          <w:rFonts w:eastAsia="仿宋_GB2312"/>
          <w:color w:val="auto"/>
          <w:highlight w:val="none"/>
        </w:rPr>
        <w:t>31%</w:t>
      </w:r>
      <w:r>
        <w:rPr>
          <w:rFonts w:hint="eastAsia" w:eastAsia="仿宋_GB2312"/>
          <w:color w:val="auto"/>
          <w:highlight w:val="none"/>
        </w:rPr>
        <w:t>，燕山大学田永君教授当选中国科学院院士。拥有国家级创新创业人才</w:t>
      </w:r>
      <w:r>
        <w:rPr>
          <w:rFonts w:eastAsia="仿宋_GB2312"/>
          <w:color w:val="auto"/>
          <w:highlight w:val="none"/>
        </w:rPr>
        <w:t>3</w:t>
      </w:r>
      <w:r>
        <w:rPr>
          <w:rFonts w:hint="eastAsia" w:eastAsia="仿宋_GB2312"/>
          <w:color w:val="auto"/>
          <w:highlight w:val="none"/>
        </w:rPr>
        <w:t>人，省级科技型中小企业创新英才达到</w:t>
      </w:r>
      <w:r>
        <w:rPr>
          <w:rFonts w:eastAsia="仿宋_GB2312"/>
          <w:color w:val="auto"/>
          <w:highlight w:val="none"/>
        </w:rPr>
        <w:t>53</w:t>
      </w:r>
      <w:r>
        <w:rPr>
          <w:rFonts w:hint="eastAsia" w:eastAsia="仿宋_GB2312"/>
          <w:color w:val="auto"/>
          <w:highlight w:val="none"/>
        </w:rPr>
        <w:t>人；广泛搭建科技创新平台，河北省首家外国院士工作站落户北戴河新区，省级院士工作站达到</w:t>
      </w:r>
      <w:r>
        <w:rPr>
          <w:rFonts w:eastAsia="仿宋_GB2312"/>
          <w:color w:val="auto"/>
          <w:highlight w:val="none"/>
        </w:rPr>
        <w:t>20</w:t>
      </w:r>
      <w:r>
        <w:rPr>
          <w:rFonts w:hint="eastAsia" w:eastAsia="仿宋_GB2312"/>
          <w:color w:val="auto"/>
          <w:highlight w:val="none"/>
        </w:rPr>
        <w:t>家，市级以上企业技术中心</w:t>
      </w:r>
      <w:r>
        <w:rPr>
          <w:rFonts w:eastAsia="仿宋_GB2312"/>
          <w:color w:val="auto"/>
          <w:highlight w:val="none"/>
        </w:rPr>
        <w:t>70</w:t>
      </w:r>
      <w:r>
        <w:rPr>
          <w:rFonts w:hint="eastAsia" w:eastAsia="仿宋_GB2312"/>
          <w:color w:val="auto"/>
          <w:highlight w:val="none"/>
        </w:rPr>
        <w:t>家，省级以上工程研究中心</w:t>
      </w:r>
      <w:r>
        <w:rPr>
          <w:rFonts w:eastAsia="仿宋_GB2312"/>
          <w:color w:val="auto"/>
          <w:highlight w:val="none"/>
        </w:rPr>
        <w:t>5</w:t>
      </w:r>
      <w:r>
        <w:rPr>
          <w:rFonts w:hint="eastAsia" w:eastAsia="仿宋_GB2312"/>
          <w:color w:val="auto"/>
          <w:highlight w:val="none"/>
        </w:rPr>
        <w:t>家，市级以上技术创新中心（重点实验室）等科技创新平台232家</w:t>
      </w:r>
      <w:r>
        <w:rPr>
          <w:rFonts w:hint="eastAsia" w:eastAsia="仿宋_GB2312"/>
          <w:color w:val="auto"/>
          <w:highlight w:val="none"/>
          <w:lang w:eastAsia="zh-CN"/>
        </w:rPr>
        <w:t>。</w:t>
      </w:r>
      <w:r>
        <w:rPr>
          <w:rFonts w:hint="eastAsia" w:eastAsia="仿宋_GB2312"/>
          <w:color w:val="auto"/>
          <w:highlight w:val="none"/>
        </w:rPr>
        <w:t>加速培育创新主体，高新技术企业、科技</w:t>
      </w:r>
      <w:r>
        <w:rPr>
          <w:rFonts w:hint="eastAsia" w:eastAsia="仿宋_GB2312"/>
          <w:color w:val="auto"/>
          <w:highlight w:val="none"/>
          <w:lang w:eastAsia="zh-CN"/>
        </w:rPr>
        <w:t>型</w:t>
      </w:r>
      <w:r>
        <w:rPr>
          <w:rFonts w:hint="eastAsia" w:eastAsia="仿宋_GB2312"/>
          <w:color w:val="auto"/>
          <w:highlight w:val="none"/>
        </w:rPr>
        <w:t>中小企业分别达到3</w:t>
      </w:r>
      <w:r>
        <w:rPr>
          <w:rFonts w:hint="eastAsia" w:eastAsia="仿宋_GB2312"/>
          <w:color w:val="auto"/>
          <w:highlight w:val="none"/>
          <w:lang w:val="en-US" w:eastAsia="zh-CN"/>
        </w:rPr>
        <w:t>16</w:t>
      </w:r>
      <w:r>
        <w:rPr>
          <w:rFonts w:hint="eastAsia" w:eastAsia="仿宋_GB2312"/>
          <w:color w:val="auto"/>
          <w:highlight w:val="none"/>
        </w:rPr>
        <w:t>家和</w:t>
      </w:r>
      <w:r>
        <w:rPr>
          <w:rFonts w:hint="eastAsia" w:eastAsia="仿宋_GB2312"/>
          <w:color w:val="auto"/>
          <w:highlight w:val="none"/>
          <w:lang w:val="en-US" w:eastAsia="zh-CN"/>
        </w:rPr>
        <w:t>3208</w:t>
      </w:r>
      <w:r>
        <w:rPr>
          <w:rFonts w:hint="eastAsia" w:eastAsia="仿宋_GB2312"/>
          <w:color w:val="auto"/>
          <w:highlight w:val="none"/>
        </w:rPr>
        <w:t>家</w:t>
      </w:r>
      <w:r>
        <w:rPr>
          <w:rFonts w:hint="eastAsia" w:eastAsia="仿宋_GB2312"/>
          <w:color w:val="auto"/>
          <w:highlight w:val="none"/>
          <w:lang w:eastAsia="zh-CN"/>
        </w:rPr>
        <w:t>。</w:t>
      </w:r>
      <w:r>
        <w:rPr>
          <w:rFonts w:hint="eastAsia" w:eastAsia="仿宋_GB2312"/>
          <w:color w:val="auto"/>
          <w:highlight w:val="none"/>
        </w:rPr>
        <w:t>组织实施市级以上科技计划项目2000项以上，省级以上高技术产业化项目24项，转化重大科技成果40余项，获得省级以上科技奖励78项</w:t>
      </w:r>
      <w:r>
        <w:rPr>
          <w:rFonts w:hint="eastAsia" w:eastAsia="仿宋_GB2312"/>
          <w:color w:val="auto"/>
          <w:highlight w:val="none"/>
          <w:lang w:eastAsia="zh-CN"/>
        </w:rPr>
        <w:t>。</w:t>
      </w:r>
      <w:r>
        <w:rPr>
          <w:rFonts w:hint="eastAsia" w:eastAsia="仿宋_GB2312"/>
          <w:color w:val="auto"/>
          <w:highlight w:val="none"/>
        </w:rPr>
        <w:t>拥有有效发明专利3142件，每万人发明专利拥有量达到</w:t>
      </w:r>
      <w:r>
        <w:rPr>
          <w:rFonts w:eastAsia="仿宋_GB2312"/>
          <w:color w:val="auto"/>
          <w:highlight w:val="none"/>
        </w:rPr>
        <w:t>10.2</w:t>
      </w:r>
      <w:r>
        <w:rPr>
          <w:rFonts w:hint="eastAsia" w:eastAsia="仿宋_GB2312"/>
          <w:color w:val="auto"/>
          <w:highlight w:val="none"/>
        </w:rPr>
        <w:t>件，拥有量及增幅均居全省首位。</w:t>
      </w:r>
    </w:p>
    <w:p w14:paraId="635CA84A">
      <w:pPr>
        <w:spacing w:line="560" w:lineRule="exact"/>
        <w:ind w:firstLine="640" w:firstLineChars="200"/>
        <w:outlineLvl w:val="2"/>
        <w:rPr>
          <w:b w:val="0"/>
          <w:bCs w:val="0"/>
          <w:color w:val="auto"/>
          <w:highlight w:val="none"/>
        </w:rPr>
      </w:pPr>
      <w:bookmarkStart w:id="121" w:name="_Toc15069"/>
      <w:bookmarkStart w:id="122" w:name="_Toc14939"/>
      <w:bookmarkStart w:id="123" w:name="_Toc30581"/>
      <w:r>
        <w:rPr>
          <w:rFonts w:hint="eastAsia"/>
          <w:b w:val="0"/>
          <w:bCs w:val="0"/>
          <w:color w:val="auto"/>
          <w:highlight w:val="none"/>
        </w:rPr>
        <w:t>（五）</w:t>
      </w:r>
      <w:bookmarkEnd w:id="121"/>
      <w:bookmarkEnd w:id="122"/>
      <w:r>
        <w:rPr>
          <w:rFonts w:hint="eastAsia"/>
          <w:b w:val="0"/>
          <w:bCs w:val="0"/>
          <w:color w:val="auto"/>
          <w:highlight w:val="none"/>
        </w:rPr>
        <w:t>城乡建设面貌品质显著提升</w:t>
      </w:r>
      <w:bookmarkEnd w:id="123"/>
    </w:p>
    <w:p w14:paraId="37D5A29A">
      <w:pPr>
        <w:spacing w:line="560" w:lineRule="exact"/>
        <w:ind w:firstLine="640" w:firstLineChars="200"/>
        <w:rPr>
          <w:rFonts w:hint="default" w:eastAsia="仿宋_GB2312"/>
          <w:color w:val="00B0F0"/>
          <w:highlight w:val="none"/>
          <w:lang w:val="en-US" w:eastAsia="zh-CN"/>
        </w:rPr>
      </w:pPr>
      <w:r>
        <w:rPr>
          <w:rFonts w:hint="eastAsia" w:eastAsia="仿宋_GB2312"/>
          <w:color w:val="auto"/>
          <w:highlight w:val="none"/>
        </w:rPr>
        <w:t>坚持</w:t>
      </w:r>
      <w:r>
        <w:rPr>
          <w:rFonts w:hint="eastAsia" w:eastAsia="仿宋_GB2312"/>
          <w:color w:val="auto"/>
          <w:highlight w:val="none"/>
          <w:lang w:eastAsia="zh-CN"/>
        </w:rPr>
        <w:t>“</w:t>
      </w:r>
      <w:r>
        <w:rPr>
          <w:rFonts w:hint="eastAsia" w:eastAsia="仿宋_GB2312"/>
          <w:color w:val="auto"/>
          <w:highlight w:val="none"/>
        </w:rPr>
        <w:t>做规划、拉框架、补功能、提品位、优环境</w:t>
      </w:r>
      <w:r>
        <w:rPr>
          <w:rFonts w:hint="eastAsia" w:eastAsia="仿宋_GB2312"/>
          <w:color w:val="auto"/>
          <w:highlight w:val="none"/>
          <w:lang w:eastAsia="zh-CN"/>
        </w:rPr>
        <w:t>”</w:t>
      </w:r>
      <w:r>
        <w:rPr>
          <w:rFonts w:hint="eastAsia" w:eastAsia="仿宋_GB2312"/>
          <w:color w:val="auto"/>
          <w:highlight w:val="none"/>
        </w:rPr>
        <w:t>，持续推进城乡建设。</w:t>
      </w:r>
      <w:r>
        <w:rPr>
          <w:rFonts w:hint="eastAsia" w:eastAsia="仿宋_GB2312"/>
          <w:b/>
          <w:color w:val="auto"/>
          <w:highlight w:val="none"/>
        </w:rPr>
        <w:t>城市规划水平显著提升，</w:t>
      </w:r>
      <w:r>
        <w:rPr>
          <w:rFonts w:hint="eastAsia" w:eastAsia="仿宋_GB2312"/>
          <w:color w:val="auto"/>
          <w:highlight w:val="none"/>
        </w:rPr>
        <w:t>以</w:t>
      </w:r>
      <w:r>
        <w:rPr>
          <w:rFonts w:hint="eastAsia" w:eastAsia="仿宋_GB2312"/>
          <w:color w:val="auto"/>
          <w:highlight w:val="none"/>
          <w:lang w:eastAsia="zh-CN"/>
        </w:rPr>
        <w:t>建设</w:t>
      </w:r>
      <w:r>
        <w:rPr>
          <w:rFonts w:hint="eastAsia" w:eastAsia="仿宋_GB2312"/>
          <w:color w:val="auto"/>
          <w:highlight w:val="none"/>
        </w:rPr>
        <w:t>一流国际旅游城市为牵引，对标雄安新区规划，高标准编制完成《秦皇岛市规划纲要》《西港片区控制性详细规划和城市设计》，高质量实现全市域</w:t>
      </w:r>
      <w:r>
        <w:rPr>
          <w:rFonts w:hint="eastAsia" w:eastAsia="仿宋_GB2312"/>
          <w:color w:val="auto"/>
          <w:highlight w:val="none"/>
          <w:lang w:eastAsia="zh-CN"/>
        </w:rPr>
        <w:t>“</w:t>
      </w:r>
      <w:r>
        <w:rPr>
          <w:rFonts w:hint="eastAsia" w:eastAsia="仿宋_GB2312"/>
          <w:color w:val="auto"/>
          <w:highlight w:val="none"/>
        </w:rPr>
        <w:t>多规合一</w:t>
      </w:r>
      <w:r>
        <w:rPr>
          <w:rFonts w:hint="eastAsia" w:eastAsia="仿宋_GB2312"/>
          <w:color w:val="auto"/>
          <w:highlight w:val="none"/>
          <w:lang w:eastAsia="zh-CN"/>
        </w:rPr>
        <w:t>”</w:t>
      </w:r>
      <w:r>
        <w:rPr>
          <w:rFonts w:hint="eastAsia" w:eastAsia="仿宋_GB2312"/>
          <w:color w:val="auto"/>
          <w:highlight w:val="none"/>
        </w:rPr>
        <w:t>。</w:t>
      </w:r>
      <w:r>
        <w:rPr>
          <w:rFonts w:hint="eastAsia" w:eastAsia="仿宋_GB2312"/>
          <w:b/>
          <w:color w:val="auto"/>
          <w:highlight w:val="none"/>
        </w:rPr>
        <w:t>对外综合交通更加便捷，</w:t>
      </w:r>
      <w:r>
        <w:rPr>
          <w:rFonts w:hint="eastAsia" w:eastAsia="仿宋_GB2312"/>
          <w:color w:val="auto"/>
          <w:highlight w:val="none"/>
        </w:rPr>
        <w:t>开通多条城际始发高铁，借力京唐城际铁路，我市即将融入首都</w:t>
      </w:r>
      <w:r>
        <w:rPr>
          <w:rFonts w:eastAsia="仿宋_GB2312"/>
          <w:color w:val="auto"/>
          <w:highlight w:val="none"/>
        </w:rPr>
        <w:t>1</w:t>
      </w:r>
      <w:r>
        <w:rPr>
          <w:rFonts w:hint="eastAsia" w:eastAsia="仿宋_GB2312"/>
          <w:color w:val="auto"/>
          <w:highlight w:val="none"/>
        </w:rPr>
        <w:t>小时交通圈</w:t>
      </w:r>
      <w:r>
        <w:rPr>
          <w:rFonts w:hint="eastAsia" w:eastAsia="仿宋_GB2312"/>
          <w:color w:val="auto"/>
          <w:highlight w:val="none"/>
          <w:lang w:eastAsia="zh-CN"/>
        </w:rPr>
        <w:t>。</w:t>
      </w:r>
      <w:r>
        <w:rPr>
          <w:rFonts w:hint="eastAsia" w:eastAsia="仿宋_GB2312"/>
          <w:color w:val="auto"/>
          <w:highlight w:val="none"/>
        </w:rPr>
        <w:t>开通广州、南京及俄罗斯、柬埔寨等</w:t>
      </w:r>
      <w:r>
        <w:rPr>
          <w:rFonts w:eastAsia="仿宋_GB2312"/>
          <w:color w:val="auto"/>
          <w:highlight w:val="none"/>
        </w:rPr>
        <w:t>30</w:t>
      </w:r>
      <w:r>
        <w:rPr>
          <w:rFonts w:hint="eastAsia" w:eastAsia="仿宋_GB2312"/>
          <w:color w:val="auto"/>
          <w:highlight w:val="none"/>
        </w:rPr>
        <w:t>条航空航线，通航国内、国际</w:t>
      </w:r>
      <w:r>
        <w:rPr>
          <w:rFonts w:eastAsia="仿宋_GB2312"/>
          <w:color w:val="auto"/>
          <w:highlight w:val="none"/>
        </w:rPr>
        <w:t>32</w:t>
      </w:r>
      <w:r>
        <w:rPr>
          <w:rFonts w:hint="eastAsia" w:eastAsia="仿宋_GB2312"/>
          <w:color w:val="auto"/>
          <w:highlight w:val="none"/>
        </w:rPr>
        <w:t>个城市，成为全省首个开通</w:t>
      </w:r>
      <w:r>
        <w:rPr>
          <w:rFonts w:hint="eastAsia" w:eastAsia="仿宋_GB2312"/>
          <w:color w:val="auto"/>
          <w:highlight w:val="none"/>
          <w:lang w:eastAsia="zh-CN"/>
        </w:rPr>
        <w:t>“</w:t>
      </w:r>
      <w:r>
        <w:rPr>
          <w:rFonts w:hint="eastAsia" w:eastAsia="仿宋_GB2312"/>
          <w:color w:val="auto"/>
          <w:highlight w:val="none"/>
        </w:rPr>
        <w:t>一带一路</w:t>
      </w:r>
      <w:r>
        <w:rPr>
          <w:rFonts w:hint="eastAsia" w:eastAsia="仿宋_GB2312"/>
          <w:color w:val="auto"/>
          <w:highlight w:val="none"/>
          <w:lang w:eastAsia="zh-CN"/>
        </w:rPr>
        <w:t>”</w:t>
      </w:r>
      <w:r>
        <w:rPr>
          <w:rFonts w:hint="eastAsia" w:eastAsia="仿宋_GB2312"/>
          <w:color w:val="auto"/>
          <w:highlight w:val="none"/>
        </w:rPr>
        <w:t>旅游航线的节点城市，民航旅客吞吐量创历史最好水平</w:t>
      </w:r>
      <w:r>
        <w:rPr>
          <w:rFonts w:hint="eastAsia" w:eastAsia="仿宋_GB2312"/>
          <w:color w:val="auto"/>
          <w:highlight w:val="none"/>
          <w:lang w:eastAsia="zh-CN"/>
        </w:rPr>
        <w:t>。</w:t>
      </w:r>
      <w:r>
        <w:rPr>
          <w:rFonts w:hint="eastAsia" w:eastAsia="仿宋_GB2312"/>
          <w:color w:val="auto"/>
          <w:highlight w:val="none"/>
        </w:rPr>
        <w:t>沿海公路石河桥至冀辽界段建成通车，昌黄路至秦唐段公路改造工程完成近</w:t>
      </w:r>
      <w:r>
        <w:rPr>
          <w:rFonts w:eastAsia="仿宋_GB2312"/>
          <w:color w:val="auto"/>
          <w:highlight w:val="none"/>
        </w:rPr>
        <w:t>80%</w:t>
      </w:r>
      <w:r>
        <w:rPr>
          <w:rFonts w:hint="eastAsia" w:eastAsia="仿宋_GB2312"/>
          <w:color w:val="auto"/>
          <w:highlight w:val="none"/>
        </w:rPr>
        <w:t>，京秦高速秦皇岛段、秦唐高速公路加快推进，区域交通合作联系更加紧密。</w:t>
      </w:r>
      <w:r>
        <w:rPr>
          <w:rFonts w:hint="eastAsia" w:eastAsia="仿宋_GB2312"/>
          <w:b/>
          <w:color w:val="auto"/>
          <w:highlight w:val="none"/>
        </w:rPr>
        <w:t>城市路网结构更加优化，</w:t>
      </w:r>
      <w:r>
        <w:rPr>
          <w:rFonts w:hint="eastAsia" w:eastAsia="仿宋_GB2312"/>
          <w:color w:val="auto"/>
          <w:highlight w:val="none"/>
        </w:rPr>
        <w:t>西部快速路、机场快速路、宁海大道、祖山连接线建成通车，海滨路东西延伸加快实施，城市区各组团间基本形成三线连三网大路网格局</w:t>
      </w:r>
      <w:r>
        <w:rPr>
          <w:rFonts w:hint="eastAsia" w:eastAsia="仿宋_GB2312"/>
          <w:color w:val="auto"/>
          <w:highlight w:val="none"/>
          <w:lang w:eastAsia="zh-CN"/>
        </w:rPr>
        <w:t>。</w:t>
      </w:r>
      <w:r>
        <w:rPr>
          <w:rFonts w:hint="eastAsia" w:eastAsia="仿宋_GB2312"/>
          <w:color w:val="auto"/>
          <w:highlight w:val="none"/>
        </w:rPr>
        <w:t>实施柳江地方铁路改线、</w:t>
      </w:r>
      <w:r>
        <w:rPr>
          <w:rFonts w:eastAsia="仿宋_GB2312"/>
          <w:color w:val="auto"/>
          <w:highlight w:val="none"/>
        </w:rPr>
        <w:t>102</w:t>
      </w:r>
      <w:r>
        <w:rPr>
          <w:rFonts w:hint="eastAsia" w:eastAsia="仿宋_GB2312"/>
          <w:color w:val="auto"/>
          <w:highlight w:val="none"/>
        </w:rPr>
        <w:t>国道改线工程，结束货运列车和国道运输穿越城区历史</w:t>
      </w:r>
      <w:r>
        <w:rPr>
          <w:rFonts w:hint="eastAsia" w:eastAsia="仿宋_GB2312"/>
          <w:color w:val="auto"/>
          <w:highlight w:val="none"/>
          <w:lang w:eastAsia="zh-CN"/>
        </w:rPr>
        <w:t>。</w:t>
      </w:r>
      <w:r>
        <w:rPr>
          <w:rFonts w:hint="eastAsia" w:eastAsia="仿宋_GB2312"/>
          <w:color w:val="auto"/>
          <w:highlight w:val="none"/>
        </w:rPr>
        <w:t>建成</w:t>
      </w:r>
      <w:r>
        <w:rPr>
          <w:rFonts w:hint="eastAsia" w:eastAsia="仿宋_GB2312"/>
          <w:color w:val="auto"/>
          <w:highlight w:val="none"/>
          <w:lang w:eastAsia="zh-CN"/>
        </w:rPr>
        <w:t>“</w:t>
      </w:r>
      <w:r>
        <w:rPr>
          <w:rFonts w:hint="eastAsia" w:eastAsia="仿宋_GB2312"/>
          <w:color w:val="auto"/>
          <w:highlight w:val="none"/>
        </w:rPr>
        <w:t>四好农村路</w:t>
      </w:r>
      <w:r>
        <w:rPr>
          <w:rFonts w:hint="eastAsia" w:eastAsia="仿宋_GB2312"/>
          <w:color w:val="auto"/>
          <w:highlight w:val="none"/>
          <w:lang w:eastAsia="zh-CN"/>
        </w:rPr>
        <w:t>”</w:t>
      </w:r>
      <w:r>
        <w:rPr>
          <w:rFonts w:eastAsia="仿宋_GB2312"/>
          <w:color w:val="auto"/>
          <w:highlight w:val="none"/>
        </w:rPr>
        <w:t>615.86</w:t>
      </w:r>
      <w:r>
        <w:rPr>
          <w:rFonts w:hint="eastAsia" w:eastAsia="仿宋_GB2312"/>
          <w:color w:val="auto"/>
          <w:highlight w:val="none"/>
        </w:rPr>
        <w:t>公里，建设长城旅游公路</w:t>
      </w:r>
      <w:r>
        <w:rPr>
          <w:rFonts w:eastAsia="仿宋_GB2312"/>
          <w:color w:val="auto"/>
          <w:highlight w:val="none"/>
        </w:rPr>
        <w:t>175.6</w:t>
      </w:r>
      <w:r>
        <w:rPr>
          <w:rFonts w:hint="eastAsia" w:eastAsia="仿宋_GB2312"/>
          <w:color w:val="auto"/>
          <w:highlight w:val="none"/>
        </w:rPr>
        <w:t>公里，开发一批串联景区精品旅游观光线路，实现农村公路由</w:t>
      </w:r>
      <w:r>
        <w:rPr>
          <w:rFonts w:hint="eastAsia" w:eastAsia="仿宋_GB2312"/>
          <w:color w:val="auto"/>
          <w:highlight w:val="none"/>
          <w:lang w:eastAsia="zh-CN"/>
        </w:rPr>
        <w:t>“</w:t>
      </w:r>
      <w:r>
        <w:rPr>
          <w:rFonts w:hint="eastAsia" w:eastAsia="仿宋_GB2312"/>
          <w:color w:val="auto"/>
          <w:highlight w:val="none"/>
        </w:rPr>
        <w:t>交通线</w:t>
      </w:r>
      <w:r>
        <w:rPr>
          <w:rFonts w:hint="eastAsia" w:eastAsia="仿宋_GB2312"/>
          <w:color w:val="auto"/>
          <w:highlight w:val="none"/>
          <w:lang w:eastAsia="zh-CN"/>
        </w:rPr>
        <w:t>”</w:t>
      </w:r>
      <w:r>
        <w:rPr>
          <w:rFonts w:hint="eastAsia" w:eastAsia="仿宋_GB2312"/>
          <w:color w:val="auto"/>
          <w:highlight w:val="none"/>
        </w:rPr>
        <w:t>向</w:t>
      </w:r>
      <w:r>
        <w:rPr>
          <w:rFonts w:hint="eastAsia" w:eastAsia="仿宋_GB2312"/>
          <w:color w:val="auto"/>
          <w:highlight w:val="none"/>
          <w:lang w:eastAsia="zh-CN"/>
        </w:rPr>
        <w:t>“</w:t>
      </w:r>
      <w:r>
        <w:rPr>
          <w:rFonts w:hint="eastAsia" w:eastAsia="仿宋_GB2312"/>
          <w:color w:val="auto"/>
          <w:highlight w:val="none"/>
        </w:rPr>
        <w:t>风景线</w:t>
      </w:r>
      <w:r>
        <w:rPr>
          <w:rFonts w:hint="eastAsia" w:eastAsia="仿宋_GB2312"/>
          <w:color w:val="auto"/>
          <w:highlight w:val="none"/>
          <w:lang w:eastAsia="zh-CN"/>
        </w:rPr>
        <w:t>”</w:t>
      </w:r>
      <w:r>
        <w:rPr>
          <w:rFonts w:hint="eastAsia" w:eastAsia="仿宋_GB2312"/>
          <w:color w:val="auto"/>
          <w:highlight w:val="none"/>
        </w:rPr>
        <w:t>转变</w:t>
      </w:r>
      <w:r>
        <w:rPr>
          <w:rFonts w:hint="eastAsia" w:eastAsia="仿宋_GB2312"/>
          <w:color w:val="auto"/>
          <w:highlight w:val="none"/>
          <w:lang w:eastAsia="zh-CN"/>
        </w:rPr>
        <w:t>。</w:t>
      </w:r>
      <w:r>
        <w:rPr>
          <w:rFonts w:hint="eastAsia" w:eastAsia="仿宋_GB2312"/>
          <w:color w:val="auto"/>
          <w:highlight w:val="none"/>
        </w:rPr>
        <w:t>打通市区一批断头路，改造一批背街小巷，主城区形成九横十四纵道路框架，城市区路网密度达到</w:t>
      </w:r>
      <w:r>
        <w:rPr>
          <w:rFonts w:eastAsia="仿宋_GB2312"/>
          <w:color w:val="auto"/>
          <w:highlight w:val="none"/>
        </w:rPr>
        <w:t>8.16</w:t>
      </w:r>
      <w:r>
        <w:rPr>
          <w:rFonts w:hint="eastAsia" w:eastAsia="仿宋_GB2312"/>
          <w:color w:val="auto"/>
          <w:highlight w:val="none"/>
        </w:rPr>
        <w:t>公里</w:t>
      </w:r>
      <w:r>
        <w:rPr>
          <w:rFonts w:eastAsia="仿宋_GB2312"/>
          <w:color w:val="auto"/>
          <w:highlight w:val="none"/>
        </w:rPr>
        <w:t>/</w:t>
      </w:r>
      <w:r>
        <w:rPr>
          <w:rFonts w:hint="eastAsia" w:eastAsia="仿宋_GB2312"/>
          <w:color w:val="auto"/>
          <w:highlight w:val="none"/>
        </w:rPr>
        <w:t>平方公里，人均道路面积</w:t>
      </w:r>
      <w:r>
        <w:rPr>
          <w:rFonts w:eastAsia="仿宋_GB2312"/>
          <w:color w:val="auto"/>
          <w:highlight w:val="none"/>
        </w:rPr>
        <w:t>16.13</w:t>
      </w:r>
      <w:r>
        <w:rPr>
          <w:rFonts w:hint="eastAsia" w:eastAsia="仿宋_GB2312"/>
          <w:color w:val="auto"/>
          <w:highlight w:val="none"/>
        </w:rPr>
        <w:t>平方米，位居全国同等城市前列，获评全省最畅通城市称号。</w:t>
      </w:r>
      <w:r>
        <w:rPr>
          <w:rFonts w:hint="eastAsia" w:eastAsia="仿宋_GB2312"/>
          <w:b/>
          <w:color w:val="auto"/>
          <w:highlight w:val="none"/>
        </w:rPr>
        <w:t>市政基础设施不断完善，</w:t>
      </w:r>
      <w:r>
        <w:rPr>
          <w:rFonts w:hint="eastAsia" w:eastAsia="仿宋_GB2312"/>
          <w:color w:val="auto"/>
          <w:highlight w:val="none"/>
        </w:rPr>
        <w:t>城市区集中供热管网实现互联互通，集中供热普及率达</w:t>
      </w:r>
      <w:r>
        <w:rPr>
          <w:rFonts w:eastAsia="仿宋_GB2312"/>
          <w:color w:val="auto"/>
          <w:highlight w:val="none"/>
        </w:rPr>
        <w:t>95%</w:t>
      </w:r>
      <w:r>
        <w:rPr>
          <w:rFonts w:hint="eastAsia" w:eastAsia="仿宋_GB2312"/>
          <w:color w:val="auto"/>
          <w:highlight w:val="none"/>
          <w:lang w:eastAsia="zh-CN"/>
        </w:rPr>
        <w:t>。</w:t>
      </w:r>
      <w:r>
        <w:rPr>
          <w:rFonts w:hint="eastAsia" w:eastAsia="仿宋_GB2312"/>
          <w:color w:val="auto"/>
          <w:highlight w:val="none"/>
        </w:rPr>
        <w:t>实施引青济秦三期扩建工程，</w:t>
      </w:r>
      <w:r>
        <w:rPr>
          <w:rFonts w:hint="eastAsia" w:eastAsia="仿宋_GB2312"/>
          <w:color w:val="auto"/>
          <w:highlight w:val="none"/>
          <w:lang w:val="en-US" w:eastAsia="zh-CN"/>
        </w:rPr>
        <w:t>供水保障能力达到46万立方米，</w:t>
      </w:r>
      <w:r>
        <w:rPr>
          <w:rFonts w:hint="eastAsia" w:eastAsia="仿宋_GB2312"/>
          <w:color w:val="auto"/>
          <w:highlight w:val="none"/>
        </w:rPr>
        <w:t>开展地下水超采综合治理，压减地下水量</w:t>
      </w:r>
      <w:r>
        <w:rPr>
          <w:rFonts w:eastAsia="仿宋_GB2312"/>
          <w:color w:val="auto"/>
          <w:highlight w:val="none"/>
        </w:rPr>
        <w:t>400</w:t>
      </w:r>
      <w:r>
        <w:rPr>
          <w:rFonts w:hint="eastAsia" w:eastAsia="仿宋_GB2312"/>
          <w:color w:val="auto"/>
          <w:highlight w:val="none"/>
        </w:rPr>
        <w:t>万立方米</w:t>
      </w:r>
      <w:r>
        <w:rPr>
          <w:rFonts w:hint="eastAsia" w:eastAsia="仿宋_GB2312"/>
          <w:color w:val="auto"/>
          <w:highlight w:val="none"/>
          <w:lang w:eastAsia="zh-CN"/>
        </w:rPr>
        <w:t>，荣获国家节水型城市称号。</w:t>
      </w:r>
      <w:r>
        <w:rPr>
          <w:rFonts w:hint="eastAsia" w:eastAsia="仿宋_GB2312"/>
          <w:color w:val="auto"/>
          <w:highlight w:val="none"/>
        </w:rPr>
        <w:t>城镇污水处理全部达到一级</w:t>
      </w:r>
      <w:r>
        <w:rPr>
          <w:rFonts w:eastAsia="仿宋_GB2312"/>
          <w:color w:val="auto"/>
          <w:highlight w:val="none"/>
        </w:rPr>
        <w:t>A</w:t>
      </w:r>
      <w:r>
        <w:rPr>
          <w:rFonts w:hint="eastAsia" w:eastAsia="仿宋_GB2312"/>
          <w:color w:val="auto"/>
          <w:highlight w:val="none"/>
        </w:rPr>
        <w:t>标准，实现污泥全部无害化处理</w:t>
      </w:r>
      <w:r>
        <w:rPr>
          <w:rFonts w:hint="eastAsia" w:eastAsia="仿宋_GB2312"/>
          <w:color w:val="auto"/>
          <w:highlight w:val="none"/>
          <w:lang w:eastAsia="zh-CN"/>
        </w:rPr>
        <w:t>，城市区垃圾日处理能力达到</w:t>
      </w:r>
      <w:r>
        <w:rPr>
          <w:rFonts w:hint="eastAsia" w:eastAsia="仿宋_GB2312"/>
          <w:color w:val="auto"/>
          <w:highlight w:val="none"/>
          <w:lang w:val="en-US" w:eastAsia="zh-CN"/>
        </w:rPr>
        <w:t>1500吨</w:t>
      </w:r>
      <w:r>
        <w:rPr>
          <w:rFonts w:hint="eastAsia" w:eastAsia="仿宋_GB2312"/>
          <w:color w:val="auto"/>
          <w:highlight w:val="none"/>
          <w:lang w:eastAsia="zh-CN"/>
        </w:rPr>
        <w:t>。</w:t>
      </w:r>
      <w:r>
        <w:rPr>
          <w:rFonts w:hint="eastAsia" w:eastAsia="仿宋_GB2312"/>
          <w:color w:val="auto"/>
          <w:highlight w:val="none"/>
        </w:rPr>
        <w:t>实现</w:t>
      </w:r>
      <w:r>
        <w:rPr>
          <w:rFonts w:eastAsia="仿宋_GB2312"/>
          <w:color w:val="auto"/>
          <w:highlight w:val="none"/>
        </w:rPr>
        <w:t>4G</w:t>
      </w:r>
      <w:r>
        <w:rPr>
          <w:rFonts w:hint="eastAsia" w:eastAsia="仿宋_GB2312"/>
          <w:color w:val="auto"/>
          <w:highlight w:val="none"/>
        </w:rPr>
        <w:t>网络行政村以上全覆盖，建设完成</w:t>
      </w:r>
      <w:r>
        <w:rPr>
          <w:rFonts w:eastAsia="仿宋_GB2312"/>
          <w:color w:val="auto"/>
          <w:highlight w:val="none"/>
        </w:rPr>
        <w:t>5G</w:t>
      </w:r>
      <w:r>
        <w:rPr>
          <w:rFonts w:hint="eastAsia" w:eastAsia="仿宋_GB2312"/>
          <w:color w:val="auto"/>
          <w:highlight w:val="none"/>
        </w:rPr>
        <w:t>基站站址</w:t>
      </w:r>
      <w:r>
        <w:rPr>
          <w:rFonts w:eastAsia="仿宋_GB2312"/>
          <w:color w:val="auto"/>
          <w:highlight w:val="none"/>
        </w:rPr>
        <w:t>1000</w:t>
      </w:r>
      <w:r>
        <w:rPr>
          <w:rFonts w:hint="eastAsia" w:eastAsia="仿宋_GB2312"/>
          <w:color w:val="auto"/>
          <w:highlight w:val="none"/>
        </w:rPr>
        <w:t>个以上，北戴河区被列入省级新型智慧城市建设试点，</w:t>
      </w:r>
      <w:r>
        <w:rPr>
          <w:rFonts w:eastAsia="仿宋_GB2312"/>
          <w:color w:val="auto"/>
          <w:highlight w:val="none"/>
        </w:rPr>
        <w:t>100</w:t>
      </w:r>
      <w:r>
        <w:rPr>
          <w:rFonts w:hint="eastAsia" w:eastAsia="仿宋_GB2312"/>
          <w:color w:val="auto"/>
          <w:highlight w:val="none"/>
        </w:rPr>
        <w:t>个智慧社区加快建设。</w:t>
      </w:r>
      <w:r>
        <w:rPr>
          <w:rFonts w:hint="eastAsia" w:eastAsia="仿宋_GB2312"/>
          <w:b/>
          <w:color w:val="auto"/>
          <w:highlight w:val="none"/>
        </w:rPr>
        <w:t>人民居住品质跃上新台阶，</w:t>
      </w:r>
      <w:r>
        <w:rPr>
          <w:rFonts w:hint="eastAsia" w:eastAsia="仿宋_GB2312"/>
          <w:color w:val="auto"/>
          <w:highlight w:val="none"/>
        </w:rPr>
        <w:t>以栖云山园博园、宁海大道和祖山连接线建设为带动，城市发展框架向西、向北拓展，</w:t>
      </w:r>
      <w:r>
        <w:rPr>
          <w:rFonts w:eastAsia="仿宋_GB2312"/>
          <w:color w:val="auto"/>
          <w:highlight w:val="none"/>
        </w:rPr>
        <w:t>3</w:t>
      </w:r>
      <w:r>
        <w:rPr>
          <w:rFonts w:hint="eastAsia" w:eastAsia="仿宋_GB2312"/>
          <w:color w:val="auto"/>
          <w:highlight w:val="none"/>
        </w:rPr>
        <w:t>个县启动新城区建设，加快产城教融合发展</w:t>
      </w:r>
      <w:r>
        <w:rPr>
          <w:rFonts w:hint="eastAsia" w:eastAsia="仿宋_GB2312"/>
          <w:color w:val="auto"/>
          <w:highlight w:val="none"/>
          <w:lang w:eastAsia="zh-CN"/>
        </w:rPr>
        <w:t>。</w:t>
      </w:r>
      <w:r>
        <w:rPr>
          <w:rFonts w:hint="eastAsia" w:eastAsia="仿宋_GB2312"/>
          <w:color w:val="auto"/>
          <w:highlight w:val="none"/>
        </w:rPr>
        <w:t>开工棚户区安置房</w:t>
      </w:r>
      <w:r>
        <w:rPr>
          <w:rFonts w:eastAsia="仿宋_GB2312"/>
          <w:color w:val="auto"/>
          <w:highlight w:val="none"/>
        </w:rPr>
        <w:t>5.1</w:t>
      </w:r>
      <w:r>
        <w:rPr>
          <w:rFonts w:hint="eastAsia" w:eastAsia="仿宋_GB2312"/>
          <w:color w:val="auto"/>
          <w:highlight w:val="none"/>
        </w:rPr>
        <w:t>万套，启动城中村改造项目</w:t>
      </w:r>
      <w:r>
        <w:rPr>
          <w:rFonts w:eastAsia="仿宋_GB2312"/>
          <w:color w:val="auto"/>
          <w:highlight w:val="none"/>
        </w:rPr>
        <w:t>46</w:t>
      </w:r>
      <w:r>
        <w:rPr>
          <w:rFonts w:hint="eastAsia" w:eastAsia="仿宋_GB2312"/>
          <w:color w:val="auto"/>
          <w:highlight w:val="none"/>
        </w:rPr>
        <w:t>个，改造完成老旧小区</w:t>
      </w:r>
      <w:r>
        <w:rPr>
          <w:rFonts w:eastAsia="仿宋_GB2312"/>
          <w:color w:val="auto"/>
          <w:highlight w:val="none"/>
        </w:rPr>
        <w:t>389</w:t>
      </w:r>
      <w:r>
        <w:rPr>
          <w:rFonts w:hint="eastAsia" w:eastAsia="仿宋_GB2312"/>
          <w:color w:val="auto"/>
          <w:highlight w:val="none"/>
        </w:rPr>
        <w:t>个，特别是严重影响城市整体形象的火车站片区、道南片区、白塔岭片区等城市改造破冰前行，北戴河新区被列为全国绿色节能建筑示范区，</w:t>
      </w:r>
      <w:r>
        <w:rPr>
          <w:rFonts w:hint="eastAsia" w:eastAsia="仿宋_GB2312"/>
          <w:color w:val="auto"/>
          <w:highlight w:val="none"/>
          <w:lang w:eastAsia="zh-CN"/>
        </w:rPr>
        <w:t>“</w:t>
      </w:r>
      <w:r>
        <w:rPr>
          <w:rFonts w:hint="eastAsia" w:eastAsia="仿宋_GB2312"/>
          <w:color w:val="auto"/>
          <w:highlight w:val="none"/>
        </w:rPr>
        <w:t>在水一方</w:t>
      </w:r>
      <w:r>
        <w:rPr>
          <w:rFonts w:eastAsia="仿宋_GB2312"/>
          <w:color w:val="auto"/>
          <w:highlight w:val="none"/>
        </w:rPr>
        <w:t>C</w:t>
      </w:r>
      <w:r>
        <w:rPr>
          <w:rFonts w:hint="eastAsia" w:eastAsia="仿宋_GB2312"/>
          <w:color w:val="auto"/>
          <w:highlight w:val="none"/>
        </w:rPr>
        <w:t>区</w:t>
      </w:r>
      <w:r>
        <w:rPr>
          <w:rFonts w:hint="eastAsia" w:eastAsia="仿宋_GB2312"/>
          <w:color w:val="auto"/>
          <w:highlight w:val="none"/>
          <w:lang w:eastAsia="zh-CN"/>
        </w:rPr>
        <w:t>”“</w:t>
      </w:r>
      <w:r>
        <w:rPr>
          <w:rFonts w:hint="eastAsia" w:eastAsia="仿宋_GB2312"/>
          <w:color w:val="auto"/>
          <w:highlight w:val="none"/>
        </w:rPr>
        <w:t>数谷大厦</w:t>
      </w:r>
      <w:r>
        <w:rPr>
          <w:rFonts w:hint="eastAsia" w:eastAsia="仿宋_GB2312"/>
          <w:color w:val="auto"/>
          <w:highlight w:val="none"/>
          <w:lang w:eastAsia="zh-CN"/>
        </w:rPr>
        <w:t>”</w:t>
      </w:r>
      <w:r>
        <w:rPr>
          <w:rFonts w:hint="eastAsia" w:eastAsia="仿宋_GB2312"/>
          <w:color w:val="auto"/>
          <w:highlight w:val="none"/>
        </w:rPr>
        <w:t>分别获得全国绿色建筑创新二、三等奖</w:t>
      </w:r>
      <w:r>
        <w:rPr>
          <w:rFonts w:hint="eastAsia" w:eastAsia="仿宋_GB2312"/>
          <w:color w:val="auto"/>
          <w:highlight w:val="none"/>
          <w:lang w:eastAsia="zh-CN"/>
        </w:rPr>
        <w:t>。</w:t>
      </w:r>
      <w:r>
        <w:rPr>
          <w:rFonts w:hint="eastAsia" w:eastAsia="仿宋_GB2312"/>
          <w:color w:val="auto"/>
          <w:highlight w:val="none"/>
        </w:rPr>
        <w:t>园博园成为城市靓丽新客厅，戴河、石河、洋河变身生态景观带，占地最大的临海森林公园、最长的带状体育公园建成，各类公园、游园达</w:t>
      </w:r>
      <w:r>
        <w:rPr>
          <w:rFonts w:eastAsia="仿宋_GB2312"/>
          <w:color w:val="auto"/>
          <w:highlight w:val="none"/>
        </w:rPr>
        <w:t>144</w:t>
      </w:r>
      <w:r>
        <w:rPr>
          <w:rFonts w:hint="eastAsia" w:eastAsia="仿宋_GB2312"/>
          <w:color w:val="auto"/>
          <w:highlight w:val="none"/>
        </w:rPr>
        <w:t>处，中心城区绿化覆盖率达到</w:t>
      </w:r>
      <w:r>
        <w:rPr>
          <w:rFonts w:eastAsia="仿宋_GB2312"/>
          <w:color w:val="auto"/>
          <w:highlight w:val="none"/>
        </w:rPr>
        <w:t>40.24%</w:t>
      </w:r>
      <w:r>
        <w:rPr>
          <w:rFonts w:hint="eastAsia" w:eastAsia="仿宋_GB2312"/>
          <w:color w:val="auto"/>
          <w:highlight w:val="none"/>
        </w:rPr>
        <w:t>，人均公园绿地面积</w:t>
      </w:r>
      <w:r>
        <w:rPr>
          <w:rFonts w:eastAsia="仿宋_GB2312"/>
          <w:color w:val="auto"/>
          <w:highlight w:val="none"/>
        </w:rPr>
        <w:t>17.64</w:t>
      </w:r>
      <w:r>
        <w:rPr>
          <w:rFonts w:hint="eastAsia" w:eastAsia="仿宋_GB2312"/>
          <w:color w:val="auto"/>
          <w:highlight w:val="none"/>
        </w:rPr>
        <w:t>平方米，</w:t>
      </w:r>
      <w:r>
        <w:rPr>
          <w:rFonts w:eastAsia="仿宋_GB2312"/>
          <w:color w:val="auto"/>
          <w:highlight w:val="none"/>
        </w:rPr>
        <w:t>109</w:t>
      </w:r>
      <w:r>
        <w:rPr>
          <w:rFonts w:hint="eastAsia" w:eastAsia="仿宋_GB2312"/>
          <w:color w:val="auto"/>
          <w:highlight w:val="none"/>
        </w:rPr>
        <w:t>个村分获国家和省森林乡村，</w:t>
      </w:r>
      <w:r>
        <w:rPr>
          <w:rFonts w:eastAsia="仿宋_GB2312"/>
          <w:color w:val="auto"/>
          <w:highlight w:val="none"/>
        </w:rPr>
        <w:t>5</w:t>
      </w:r>
      <w:r>
        <w:rPr>
          <w:rFonts w:hint="eastAsia" w:eastAsia="仿宋_GB2312"/>
          <w:color w:val="auto"/>
          <w:highlight w:val="none"/>
        </w:rPr>
        <w:t>个村被评为全国生态文化村，荣获全国文明城市、</w:t>
      </w:r>
      <w:r>
        <w:rPr>
          <w:rFonts w:hint="eastAsia" w:eastAsia="仿宋_GB2312"/>
          <w:color w:val="auto"/>
          <w:highlight w:val="none"/>
          <w:lang w:eastAsia="zh-CN"/>
        </w:rPr>
        <w:t>国家</w:t>
      </w:r>
      <w:r>
        <w:rPr>
          <w:rFonts w:hint="eastAsia" w:eastAsia="仿宋_GB2312"/>
          <w:color w:val="auto"/>
          <w:highlight w:val="none"/>
        </w:rPr>
        <w:t>卫生城市称号。</w:t>
      </w:r>
      <w:r>
        <w:rPr>
          <w:rFonts w:hint="eastAsia" w:eastAsia="仿宋_GB2312"/>
          <w:b/>
          <w:color w:val="auto"/>
          <w:highlight w:val="none"/>
          <w:lang w:eastAsia="zh-CN"/>
        </w:rPr>
        <w:t>“</w:t>
      </w:r>
      <w:r>
        <w:rPr>
          <w:rFonts w:hint="eastAsia" w:eastAsia="仿宋_GB2312"/>
          <w:b/>
          <w:color w:val="auto"/>
          <w:highlight w:val="none"/>
        </w:rPr>
        <w:t>美丽乡村</w:t>
      </w:r>
      <w:r>
        <w:rPr>
          <w:rFonts w:hint="eastAsia" w:eastAsia="仿宋_GB2312"/>
          <w:b/>
          <w:color w:val="auto"/>
          <w:highlight w:val="none"/>
          <w:lang w:eastAsia="zh-CN"/>
        </w:rPr>
        <w:t>”</w:t>
      </w:r>
      <w:r>
        <w:rPr>
          <w:rFonts w:hint="eastAsia" w:eastAsia="仿宋_GB2312"/>
          <w:b/>
          <w:color w:val="auto"/>
          <w:highlight w:val="none"/>
        </w:rPr>
        <w:t>建设全面发力，</w:t>
      </w:r>
      <w:r>
        <w:rPr>
          <w:rFonts w:hint="eastAsia" w:eastAsia="仿宋_GB2312"/>
          <w:color w:val="auto"/>
          <w:highlight w:val="none"/>
        </w:rPr>
        <w:t>农村人居环境整治三年行动全面铺开，改造农村厕所</w:t>
      </w:r>
      <w:r>
        <w:rPr>
          <w:rFonts w:hint="eastAsia" w:eastAsia="仿宋_GB2312"/>
          <w:color w:val="auto"/>
          <w:highlight w:val="none"/>
          <w:lang w:val="en-US" w:eastAsia="zh-CN"/>
        </w:rPr>
        <w:t>37.7</w:t>
      </w:r>
      <w:r>
        <w:rPr>
          <w:rFonts w:hint="eastAsia" w:eastAsia="仿宋_GB2312"/>
          <w:color w:val="auto"/>
          <w:highlight w:val="none"/>
        </w:rPr>
        <w:t>万座，畜禽规模养殖场废弃物处理设施配建率达到</w:t>
      </w:r>
      <w:r>
        <w:rPr>
          <w:rFonts w:eastAsia="仿宋_GB2312"/>
          <w:color w:val="auto"/>
          <w:highlight w:val="none"/>
        </w:rPr>
        <w:t>99%</w:t>
      </w:r>
      <w:r>
        <w:rPr>
          <w:rFonts w:hint="eastAsia" w:eastAsia="仿宋_GB2312"/>
          <w:color w:val="auto"/>
          <w:highlight w:val="none"/>
        </w:rPr>
        <w:t>，农村垃圾收集处理率达到</w:t>
      </w:r>
      <w:r>
        <w:rPr>
          <w:rFonts w:eastAsia="仿宋_GB2312"/>
          <w:color w:val="auto"/>
          <w:highlight w:val="none"/>
        </w:rPr>
        <w:t>95.7%</w:t>
      </w:r>
      <w:r>
        <w:rPr>
          <w:rFonts w:hint="eastAsia" w:eastAsia="仿宋_GB2312"/>
          <w:color w:val="auto"/>
          <w:highlight w:val="none"/>
        </w:rPr>
        <w:t>。成功创建</w:t>
      </w:r>
      <w:r>
        <w:rPr>
          <w:rFonts w:hint="eastAsia" w:eastAsia="仿宋_GB2312"/>
          <w:color w:val="auto"/>
          <w:highlight w:val="none"/>
          <w:lang w:eastAsia="zh-CN"/>
        </w:rPr>
        <w:t>“</w:t>
      </w:r>
      <w:r>
        <w:rPr>
          <w:rFonts w:hint="eastAsia" w:eastAsia="仿宋_GB2312"/>
          <w:color w:val="auto"/>
          <w:highlight w:val="none"/>
        </w:rPr>
        <w:t>中国乡村旅游模范村</w:t>
      </w:r>
      <w:r>
        <w:rPr>
          <w:rFonts w:hint="eastAsia" w:eastAsia="仿宋_GB2312"/>
          <w:color w:val="auto"/>
          <w:highlight w:val="none"/>
          <w:lang w:eastAsia="zh-CN"/>
        </w:rPr>
        <w:t>”</w:t>
      </w:r>
      <w:r>
        <w:rPr>
          <w:rFonts w:eastAsia="仿宋_GB2312"/>
          <w:color w:val="auto"/>
          <w:highlight w:val="none"/>
        </w:rPr>
        <w:t>3</w:t>
      </w:r>
      <w:r>
        <w:rPr>
          <w:rFonts w:hint="eastAsia" w:eastAsia="仿宋_GB2312"/>
          <w:color w:val="auto"/>
          <w:highlight w:val="none"/>
        </w:rPr>
        <w:t>个、</w:t>
      </w:r>
      <w:r>
        <w:rPr>
          <w:rFonts w:hint="eastAsia" w:eastAsia="仿宋_GB2312"/>
          <w:color w:val="auto"/>
          <w:highlight w:val="none"/>
          <w:lang w:eastAsia="zh-CN"/>
        </w:rPr>
        <w:t>“</w:t>
      </w:r>
      <w:r>
        <w:rPr>
          <w:rFonts w:hint="eastAsia" w:eastAsia="仿宋_GB2312"/>
          <w:color w:val="auto"/>
          <w:highlight w:val="none"/>
        </w:rPr>
        <w:t>国家乡村旅游重点村</w:t>
      </w:r>
      <w:r>
        <w:rPr>
          <w:rFonts w:hint="eastAsia" w:eastAsia="仿宋_GB2312"/>
          <w:color w:val="auto"/>
          <w:highlight w:val="none"/>
          <w:lang w:eastAsia="zh-CN"/>
        </w:rPr>
        <w:t>”</w:t>
      </w:r>
      <w:r>
        <w:rPr>
          <w:rFonts w:eastAsia="仿宋_GB2312"/>
          <w:color w:val="auto"/>
          <w:highlight w:val="none"/>
        </w:rPr>
        <w:t>4</w:t>
      </w:r>
      <w:r>
        <w:rPr>
          <w:rFonts w:hint="eastAsia" w:eastAsia="仿宋_GB2312"/>
          <w:color w:val="auto"/>
          <w:highlight w:val="none"/>
        </w:rPr>
        <w:t>个、</w:t>
      </w:r>
      <w:r>
        <w:rPr>
          <w:rFonts w:hint="eastAsia" w:eastAsia="仿宋_GB2312"/>
          <w:color w:val="auto"/>
          <w:highlight w:val="none"/>
          <w:lang w:eastAsia="zh-CN"/>
        </w:rPr>
        <w:t>“</w:t>
      </w:r>
      <w:r>
        <w:rPr>
          <w:rFonts w:hint="eastAsia" w:eastAsia="仿宋_GB2312"/>
          <w:color w:val="auto"/>
          <w:highlight w:val="none"/>
        </w:rPr>
        <w:t>省级乡村旅游重点村</w:t>
      </w:r>
      <w:r>
        <w:rPr>
          <w:rFonts w:hint="eastAsia" w:eastAsia="仿宋_GB2312"/>
          <w:color w:val="auto"/>
          <w:highlight w:val="none"/>
          <w:lang w:eastAsia="zh-CN"/>
        </w:rPr>
        <w:t>”</w:t>
      </w:r>
      <w:r>
        <w:rPr>
          <w:rFonts w:eastAsia="仿宋_GB2312"/>
          <w:color w:val="auto"/>
          <w:highlight w:val="none"/>
        </w:rPr>
        <w:t>8</w:t>
      </w:r>
      <w:r>
        <w:rPr>
          <w:rFonts w:hint="eastAsia" w:eastAsia="仿宋_GB2312"/>
          <w:color w:val="auto"/>
          <w:highlight w:val="none"/>
        </w:rPr>
        <w:t>个。</w:t>
      </w:r>
      <w:r>
        <w:rPr>
          <w:rFonts w:hint="eastAsia" w:eastAsia="仿宋_GB2312"/>
          <w:color w:val="00B0F0"/>
          <w:highlight w:val="none"/>
          <w:lang w:eastAsia="zh-CN"/>
        </w:rPr>
        <w:t>农业转移人口市民化进程加快，常住人口城镇化率达到</w:t>
      </w:r>
      <w:r>
        <w:rPr>
          <w:rFonts w:hint="eastAsia" w:eastAsia="仿宋_GB2312"/>
          <w:color w:val="00B0F0"/>
          <w:highlight w:val="none"/>
          <w:lang w:val="en-US" w:eastAsia="zh-CN"/>
        </w:rPr>
        <w:t>62%左右。</w:t>
      </w:r>
    </w:p>
    <w:p w14:paraId="6CD0EF28">
      <w:pPr>
        <w:spacing w:line="560" w:lineRule="exact"/>
        <w:ind w:firstLine="640" w:firstLineChars="200"/>
        <w:outlineLvl w:val="2"/>
        <w:rPr>
          <w:b w:val="0"/>
          <w:bCs w:val="0"/>
          <w:color w:val="auto"/>
          <w:highlight w:val="none"/>
        </w:rPr>
      </w:pPr>
      <w:bookmarkStart w:id="124" w:name="_Toc26299"/>
      <w:bookmarkStart w:id="125" w:name="_Toc29845"/>
      <w:bookmarkStart w:id="126" w:name="_Toc3214"/>
      <w:r>
        <w:rPr>
          <w:rFonts w:hint="eastAsia"/>
          <w:b w:val="0"/>
          <w:bCs w:val="0"/>
          <w:color w:val="auto"/>
          <w:highlight w:val="none"/>
        </w:rPr>
        <w:t>（六）人民生活</w:t>
      </w:r>
      <w:bookmarkEnd w:id="124"/>
      <w:bookmarkEnd w:id="125"/>
      <w:r>
        <w:rPr>
          <w:rFonts w:hint="eastAsia"/>
          <w:b w:val="0"/>
          <w:bCs w:val="0"/>
          <w:color w:val="auto"/>
          <w:highlight w:val="none"/>
        </w:rPr>
        <w:t>水平持续提高</w:t>
      </w:r>
      <w:bookmarkEnd w:id="126"/>
    </w:p>
    <w:p w14:paraId="61F3D0D2">
      <w:pPr>
        <w:adjustRightInd w:val="0"/>
        <w:snapToGrid w:val="0"/>
        <w:spacing w:line="560" w:lineRule="exact"/>
        <w:ind w:firstLine="640" w:firstLineChars="200"/>
        <w:textAlignment w:val="center"/>
        <w:rPr>
          <w:rFonts w:eastAsia="仿宋_GB2312"/>
          <w:color w:val="auto"/>
          <w:highlight w:val="none"/>
        </w:rPr>
      </w:pPr>
      <w:r>
        <w:rPr>
          <w:rFonts w:hint="eastAsia" w:eastAsia="仿宋_GB2312"/>
          <w:color w:val="auto"/>
          <w:highlight w:val="none"/>
        </w:rPr>
        <w:t>牢固树立以人民为中心的发展思想，持续加大投入改善公共服务，每年滚动办好一批民生实事，民生支出占一般公共预算支出比重达到</w:t>
      </w:r>
      <w:r>
        <w:rPr>
          <w:rFonts w:eastAsia="仿宋_GB2312"/>
          <w:color w:val="auto"/>
          <w:highlight w:val="none"/>
        </w:rPr>
        <w:t>85</w:t>
      </w:r>
      <w:r>
        <w:rPr>
          <w:rFonts w:hint="eastAsia" w:eastAsia="仿宋_GB2312"/>
          <w:color w:val="auto"/>
          <w:highlight w:val="none"/>
        </w:rPr>
        <w:t>％以上。</w:t>
      </w:r>
      <w:r>
        <w:rPr>
          <w:rFonts w:hint="eastAsia" w:eastAsia="仿宋_GB2312"/>
          <w:b/>
          <w:color w:val="auto"/>
          <w:highlight w:val="none"/>
        </w:rPr>
        <w:t>教育水平稳步提升，</w:t>
      </w:r>
      <w:r>
        <w:rPr>
          <w:rFonts w:hint="eastAsia" w:eastAsia="仿宋_GB2312"/>
          <w:color w:val="auto"/>
          <w:highlight w:val="none"/>
        </w:rPr>
        <w:t>出台</w:t>
      </w:r>
      <w:r>
        <w:rPr>
          <w:rFonts w:hint="eastAsia" w:eastAsia="仿宋_GB2312"/>
          <w:color w:val="auto"/>
          <w:highlight w:val="none"/>
          <w:lang w:eastAsia="zh-CN"/>
        </w:rPr>
        <w:t>“</w:t>
      </w:r>
      <w:r>
        <w:rPr>
          <w:rFonts w:hint="eastAsia" w:eastAsia="仿宋_GB2312"/>
          <w:color w:val="auto"/>
          <w:highlight w:val="none"/>
        </w:rPr>
        <w:t>教育十条</w:t>
      </w:r>
      <w:r>
        <w:rPr>
          <w:rFonts w:hint="eastAsia" w:eastAsia="仿宋_GB2312"/>
          <w:color w:val="auto"/>
          <w:highlight w:val="none"/>
          <w:lang w:eastAsia="zh-CN"/>
        </w:rPr>
        <w:t>”</w:t>
      </w:r>
      <w:r>
        <w:rPr>
          <w:rFonts w:hint="eastAsia" w:eastAsia="仿宋_GB2312"/>
          <w:color w:val="auto"/>
          <w:highlight w:val="none"/>
        </w:rPr>
        <w:t>，新建改扩建各级各类中小学校</w:t>
      </w:r>
      <w:r>
        <w:rPr>
          <w:rFonts w:eastAsia="仿宋_GB2312"/>
          <w:color w:val="auto"/>
          <w:highlight w:val="none"/>
        </w:rPr>
        <w:t>40</w:t>
      </w:r>
      <w:r>
        <w:rPr>
          <w:rFonts w:hint="eastAsia" w:eastAsia="仿宋_GB2312"/>
          <w:color w:val="auto"/>
          <w:highlight w:val="none"/>
        </w:rPr>
        <w:t>余所，新增</w:t>
      </w:r>
      <w:r>
        <w:rPr>
          <w:rFonts w:eastAsia="仿宋_GB2312"/>
          <w:color w:val="auto"/>
          <w:highlight w:val="none"/>
        </w:rPr>
        <w:t>10</w:t>
      </w:r>
      <w:r>
        <w:rPr>
          <w:rFonts w:hint="eastAsia" w:eastAsia="仿宋_GB2312"/>
          <w:color w:val="auto"/>
          <w:highlight w:val="none"/>
        </w:rPr>
        <w:t>所民办中小学校，公办幼儿园占比达到</w:t>
      </w:r>
      <w:r>
        <w:rPr>
          <w:rFonts w:eastAsia="仿宋_GB2312"/>
          <w:color w:val="auto"/>
          <w:highlight w:val="none"/>
        </w:rPr>
        <w:t>50.52%</w:t>
      </w:r>
      <w:r>
        <w:rPr>
          <w:rFonts w:hint="eastAsia" w:eastAsia="仿宋_GB2312"/>
          <w:color w:val="auto"/>
          <w:highlight w:val="none"/>
        </w:rPr>
        <w:t>，普惠性幼儿园覆盖率达到</w:t>
      </w:r>
      <w:r>
        <w:rPr>
          <w:rFonts w:eastAsia="仿宋_GB2312"/>
          <w:color w:val="auto"/>
          <w:highlight w:val="none"/>
        </w:rPr>
        <w:t>80.26%</w:t>
      </w:r>
      <w:r>
        <w:rPr>
          <w:rFonts w:hint="eastAsia" w:eastAsia="仿宋_GB2312"/>
          <w:color w:val="auto"/>
          <w:highlight w:val="none"/>
        </w:rPr>
        <w:t>，学前三年毛入园率达到</w:t>
      </w:r>
      <w:r>
        <w:rPr>
          <w:rFonts w:eastAsia="仿宋_GB2312"/>
          <w:color w:val="auto"/>
          <w:highlight w:val="none"/>
        </w:rPr>
        <w:t>88.1%</w:t>
      </w:r>
      <w:r>
        <w:rPr>
          <w:rFonts w:hint="eastAsia" w:eastAsia="仿宋_GB2312"/>
          <w:color w:val="auto"/>
          <w:highlight w:val="none"/>
        </w:rPr>
        <w:t>，比</w:t>
      </w:r>
      <w:r>
        <w:rPr>
          <w:rFonts w:eastAsia="仿宋_GB2312"/>
          <w:color w:val="auto"/>
          <w:highlight w:val="none"/>
        </w:rPr>
        <w:t>2015</w:t>
      </w:r>
      <w:r>
        <w:rPr>
          <w:rFonts w:hint="eastAsia" w:eastAsia="仿宋_GB2312"/>
          <w:color w:val="auto"/>
          <w:highlight w:val="none"/>
        </w:rPr>
        <w:t>年提高</w:t>
      </w:r>
      <w:r>
        <w:rPr>
          <w:rFonts w:eastAsia="仿宋_GB2312"/>
          <w:color w:val="auto"/>
          <w:highlight w:val="none"/>
        </w:rPr>
        <w:t>2</w:t>
      </w:r>
      <w:r>
        <w:rPr>
          <w:rFonts w:hint="eastAsia" w:eastAsia="仿宋_GB2312"/>
          <w:color w:val="auto"/>
          <w:highlight w:val="none"/>
        </w:rPr>
        <w:t>个百分点，高中阶段教育毛入学率达到</w:t>
      </w:r>
      <w:r>
        <w:rPr>
          <w:rFonts w:eastAsia="仿宋_GB2312"/>
          <w:color w:val="auto"/>
          <w:highlight w:val="none"/>
        </w:rPr>
        <w:t>95.2%</w:t>
      </w:r>
      <w:r>
        <w:rPr>
          <w:rFonts w:hint="eastAsia" w:eastAsia="仿宋_GB2312"/>
          <w:color w:val="auto"/>
          <w:highlight w:val="none"/>
        </w:rPr>
        <w:t>，比</w:t>
      </w:r>
      <w:r>
        <w:rPr>
          <w:rFonts w:eastAsia="仿宋_GB2312"/>
          <w:color w:val="auto"/>
          <w:highlight w:val="none"/>
        </w:rPr>
        <w:t>2015</w:t>
      </w:r>
      <w:r>
        <w:rPr>
          <w:rFonts w:hint="eastAsia" w:eastAsia="仿宋_GB2312"/>
          <w:color w:val="auto"/>
          <w:highlight w:val="none"/>
        </w:rPr>
        <w:t>年提高</w:t>
      </w:r>
      <w:r>
        <w:rPr>
          <w:rFonts w:eastAsia="仿宋_GB2312"/>
          <w:color w:val="auto"/>
          <w:highlight w:val="none"/>
        </w:rPr>
        <w:t>5.2</w:t>
      </w:r>
      <w:r>
        <w:rPr>
          <w:rFonts w:hint="eastAsia" w:eastAsia="仿宋_GB2312"/>
          <w:color w:val="auto"/>
          <w:highlight w:val="none"/>
        </w:rPr>
        <w:t>个百分点，高等教育全日制在校生达到</w:t>
      </w:r>
      <w:r>
        <w:rPr>
          <w:rFonts w:eastAsia="仿宋_GB2312"/>
          <w:color w:val="auto"/>
          <w:highlight w:val="none"/>
        </w:rPr>
        <w:t>13.06</w:t>
      </w:r>
      <w:r>
        <w:rPr>
          <w:rFonts w:hint="eastAsia" w:eastAsia="仿宋_GB2312"/>
          <w:color w:val="auto"/>
          <w:highlight w:val="none"/>
        </w:rPr>
        <w:t>万人，比</w:t>
      </w:r>
      <w:r>
        <w:rPr>
          <w:rFonts w:eastAsia="仿宋_GB2312"/>
          <w:color w:val="auto"/>
          <w:highlight w:val="none"/>
        </w:rPr>
        <w:t>2015</w:t>
      </w:r>
      <w:r>
        <w:rPr>
          <w:rFonts w:hint="eastAsia" w:eastAsia="仿宋_GB2312"/>
          <w:color w:val="auto"/>
          <w:highlight w:val="none"/>
        </w:rPr>
        <w:t>年提高</w:t>
      </w:r>
      <w:r>
        <w:rPr>
          <w:rFonts w:eastAsia="仿宋_GB2312"/>
          <w:color w:val="auto"/>
          <w:highlight w:val="none"/>
        </w:rPr>
        <w:t>12.2</w:t>
      </w:r>
      <w:r>
        <w:rPr>
          <w:rFonts w:hint="eastAsia" w:eastAsia="仿宋_GB2312"/>
          <w:color w:val="auto"/>
          <w:highlight w:val="none"/>
        </w:rPr>
        <w:t>个百分点，中国环境干部管理学院转制升本成立河北环境工程学院，燕山大学</w:t>
      </w:r>
      <w:r>
        <w:rPr>
          <w:rFonts w:hint="eastAsia" w:eastAsia="仿宋_GB2312"/>
          <w:color w:val="auto"/>
          <w:highlight w:val="none"/>
          <w:lang w:eastAsia="zh-CN"/>
        </w:rPr>
        <w:t>“</w:t>
      </w:r>
      <w:r>
        <w:rPr>
          <w:rFonts w:hint="eastAsia" w:eastAsia="仿宋_GB2312"/>
          <w:color w:val="auto"/>
          <w:highlight w:val="none"/>
        </w:rPr>
        <w:t>双一流</w:t>
      </w:r>
      <w:r>
        <w:rPr>
          <w:rFonts w:hint="eastAsia" w:eastAsia="仿宋_GB2312"/>
          <w:color w:val="auto"/>
          <w:highlight w:val="none"/>
          <w:lang w:eastAsia="zh-CN"/>
        </w:rPr>
        <w:t>”</w:t>
      </w:r>
      <w:r>
        <w:rPr>
          <w:rFonts w:hint="eastAsia" w:eastAsia="仿宋_GB2312"/>
          <w:color w:val="auto"/>
          <w:highlight w:val="none"/>
        </w:rPr>
        <w:t>建设取得新突破，东北大学（秦皇岛）悉尼智能科技学院落户我市。</w:t>
      </w:r>
      <w:r>
        <w:rPr>
          <w:rFonts w:hint="eastAsia" w:eastAsia="仿宋_GB2312"/>
          <w:b/>
          <w:color w:val="auto"/>
          <w:highlight w:val="none"/>
        </w:rPr>
        <w:t>健康服务不断增强，</w:t>
      </w:r>
      <w:r>
        <w:rPr>
          <w:rFonts w:eastAsia="仿宋_GB2312"/>
          <w:color w:val="auto"/>
          <w:highlight w:val="none"/>
        </w:rPr>
        <w:t>28</w:t>
      </w:r>
      <w:r>
        <w:rPr>
          <w:rFonts w:hint="eastAsia" w:eastAsia="仿宋_GB2312"/>
          <w:color w:val="auto"/>
          <w:highlight w:val="none"/>
        </w:rPr>
        <w:t>家二级以上公立医院全部建立现代医院管理制度，城市公立医院全部取消药品加成，开展全市药品带量采购，</w:t>
      </w:r>
      <w:r>
        <w:rPr>
          <w:rFonts w:eastAsia="仿宋_GB2312"/>
          <w:color w:val="auto"/>
          <w:highlight w:val="none"/>
        </w:rPr>
        <w:t>25</w:t>
      </w:r>
      <w:r>
        <w:rPr>
          <w:rFonts w:hint="eastAsia" w:eastAsia="仿宋_GB2312"/>
          <w:color w:val="auto"/>
          <w:highlight w:val="none"/>
        </w:rPr>
        <w:t>种中选药品平均降幅达</w:t>
      </w:r>
      <w:r>
        <w:rPr>
          <w:rFonts w:eastAsia="仿宋_GB2312"/>
          <w:color w:val="auto"/>
          <w:highlight w:val="none"/>
        </w:rPr>
        <w:t>52%</w:t>
      </w:r>
      <w:r>
        <w:rPr>
          <w:rFonts w:hint="eastAsia" w:eastAsia="仿宋_GB2312"/>
          <w:color w:val="auto"/>
          <w:highlight w:val="none"/>
        </w:rPr>
        <w:t>，在全省率先实现城乡居民基本医疗保险市级统筹、</w:t>
      </w:r>
      <w:r>
        <w:rPr>
          <w:rFonts w:eastAsia="仿宋_GB2312"/>
          <w:color w:val="auto"/>
          <w:highlight w:val="none"/>
        </w:rPr>
        <w:t>9</w:t>
      </w:r>
      <w:r>
        <w:rPr>
          <w:rFonts w:hint="eastAsia" w:eastAsia="仿宋_GB2312"/>
          <w:color w:val="auto"/>
          <w:highlight w:val="none"/>
        </w:rPr>
        <w:t>个医联体医保基金按人头打包支付，在秦皇岛经济技术开发区启动实施长期护理保险试点，城镇职工基本医疗保险支付限额由</w:t>
      </w:r>
      <w:r>
        <w:rPr>
          <w:rFonts w:eastAsia="仿宋_GB2312"/>
          <w:color w:val="auto"/>
          <w:highlight w:val="none"/>
        </w:rPr>
        <w:t>8</w:t>
      </w:r>
      <w:r>
        <w:rPr>
          <w:rFonts w:hint="eastAsia" w:eastAsia="仿宋_GB2312"/>
          <w:color w:val="auto"/>
          <w:highlight w:val="none"/>
        </w:rPr>
        <w:t>万元调整至</w:t>
      </w:r>
      <w:r>
        <w:rPr>
          <w:rFonts w:eastAsia="仿宋_GB2312"/>
          <w:color w:val="auto"/>
          <w:highlight w:val="none"/>
        </w:rPr>
        <w:t>12</w:t>
      </w:r>
      <w:r>
        <w:rPr>
          <w:rFonts w:hint="eastAsia" w:eastAsia="仿宋_GB2312"/>
          <w:color w:val="auto"/>
          <w:highlight w:val="none"/>
        </w:rPr>
        <w:t>万元，城乡居民大病保险支付限额由</w:t>
      </w:r>
      <w:r>
        <w:rPr>
          <w:rFonts w:eastAsia="仿宋_GB2312"/>
          <w:color w:val="auto"/>
          <w:highlight w:val="none"/>
        </w:rPr>
        <w:t>30</w:t>
      </w:r>
      <w:r>
        <w:rPr>
          <w:rFonts w:hint="eastAsia" w:eastAsia="仿宋_GB2312"/>
          <w:color w:val="auto"/>
          <w:highlight w:val="none"/>
        </w:rPr>
        <w:t>万元提升到</w:t>
      </w:r>
      <w:r>
        <w:rPr>
          <w:rFonts w:eastAsia="仿宋_GB2312"/>
          <w:color w:val="auto"/>
          <w:highlight w:val="none"/>
        </w:rPr>
        <w:t>40</w:t>
      </w:r>
      <w:r>
        <w:rPr>
          <w:rFonts w:hint="eastAsia" w:eastAsia="仿宋_GB2312"/>
          <w:color w:val="auto"/>
          <w:highlight w:val="none"/>
        </w:rPr>
        <w:t>万元，市中医院成为我省唯一一家首批国家中医药服务出口基地。</w:t>
      </w:r>
      <w:r>
        <w:rPr>
          <w:rFonts w:hint="eastAsia" w:eastAsia="仿宋_GB2312"/>
          <w:b/>
          <w:color w:val="auto"/>
          <w:highlight w:val="none"/>
        </w:rPr>
        <w:t>社会保障持续完善，社</w:t>
      </w:r>
      <w:r>
        <w:rPr>
          <w:rFonts w:hint="eastAsia" w:ascii="Times New Roman" w:hAnsi="Times New Roman" w:eastAsia="仿宋_GB2312" w:cs="Times New Roman"/>
          <w:color w:val="auto"/>
          <w:highlight w:val="none"/>
        </w:rPr>
        <w:t>会保障持续完善，5年城镇新增就业累计28.5万人，城镇登记失业率始终控制在3.08%以内，城镇职工、城乡居民基本养老保险参保人数分别达到102.96万人、126.76万人，企业职工、城乡居民月人均养老金从2016年初的2374元、80元提高到</w:t>
      </w:r>
      <w:r>
        <w:rPr>
          <w:rFonts w:hint="eastAsia" w:ascii="Times New Roman" w:hAnsi="Times New Roman" w:eastAsia="仿宋_GB2312" w:cs="Times New Roman"/>
          <w:color w:val="00B0F0"/>
          <w:highlight w:val="none"/>
        </w:rPr>
        <w:t>2020年的2729.17元和120.02元，</w:t>
      </w:r>
      <w:r>
        <w:rPr>
          <w:rFonts w:hint="eastAsia" w:ascii="Times New Roman" w:hAnsi="Times New Roman" w:eastAsia="仿宋_GB2312" w:cs="Times New Roman"/>
          <w:color w:val="auto"/>
          <w:highlight w:val="none"/>
        </w:rPr>
        <w:t>城乡低保标准分别从2016年初的5400元/年、3000元/年提高至8712元/年和5000元/年，基本医疗保险各级财政补助标准从2016年每人每年420元提高到550元。</w:t>
      </w:r>
      <w:r>
        <w:rPr>
          <w:rFonts w:hint="eastAsia" w:eastAsia="仿宋_GB2312"/>
          <w:color w:val="auto"/>
          <w:highlight w:val="none"/>
        </w:rPr>
        <w:t>公办养老机构达到</w:t>
      </w:r>
      <w:r>
        <w:rPr>
          <w:rFonts w:eastAsia="仿宋_GB2312"/>
          <w:color w:val="auto"/>
          <w:highlight w:val="none"/>
        </w:rPr>
        <w:t>17</w:t>
      </w:r>
      <w:r>
        <w:rPr>
          <w:rFonts w:hint="eastAsia" w:eastAsia="仿宋_GB2312"/>
          <w:color w:val="auto"/>
          <w:highlight w:val="none"/>
        </w:rPr>
        <w:t>家，社会资本投资设立养老机构</w:t>
      </w:r>
      <w:r>
        <w:rPr>
          <w:rFonts w:eastAsia="仿宋_GB2312"/>
          <w:color w:val="auto"/>
          <w:highlight w:val="none"/>
        </w:rPr>
        <w:t>49</w:t>
      </w:r>
      <w:r>
        <w:rPr>
          <w:rFonts w:hint="eastAsia" w:eastAsia="仿宋_GB2312"/>
          <w:color w:val="auto"/>
          <w:highlight w:val="none"/>
        </w:rPr>
        <w:t>家，建成居家养老服务中心</w:t>
      </w:r>
      <w:r>
        <w:rPr>
          <w:rFonts w:eastAsia="仿宋_GB2312"/>
          <w:color w:val="auto"/>
          <w:highlight w:val="none"/>
        </w:rPr>
        <w:t>56</w:t>
      </w:r>
      <w:r>
        <w:rPr>
          <w:rFonts w:hint="eastAsia" w:eastAsia="仿宋_GB2312"/>
          <w:color w:val="auto"/>
          <w:highlight w:val="none"/>
        </w:rPr>
        <w:t>所，实现城市街道全覆盖，走在全省前列。</w:t>
      </w:r>
      <w:r>
        <w:rPr>
          <w:rFonts w:hint="eastAsia" w:eastAsia="仿宋_GB2312"/>
          <w:b/>
          <w:color w:val="auto"/>
          <w:highlight w:val="none"/>
        </w:rPr>
        <w:t>文体生活更加丰富，</w:t>
      </w:r>
      <w:r>
        <w:rPr>
          <w:rFonts w:hint="eastAsia" w:eastAsia="仿宋_GB2312"/>
          <w:color w:val="auto"/>
          <w:highlight w:val="none"/>
        </w:rPr>
        <w:t>成功创建首批</w:t>
      </w:r>
      <w:r>
        <w:rPr>
          <w:rFonts w:hint="eastAsia" w:eastAsia="仿宋_GB2312"/>
          <w:color w:val="auto"/>
          <w:highlight w:val="none"/>
          <w:lang w:eastAsia="zh-CN"/>
        </w:rPr>
        <w:t>“</w:t>
      </w:r>
      <w:r>
        <w:rPr>
          <w:rFonts w:hint="eastAsia" w:eastAsia="仿宋_GB2312"/>
          <w:color w:val="auto"/>
          <w:highlight w:val="none"/>
        </w:rPr>
        <w:t>国家公共文化服务体系示范区</w:t>
      </w:r>
      <w:r>
        <w:rPr>
          <w:rFonts w:hint="eastAsia" w:eastAsia="仿宋_GB2312"/>
          <w:color w:val="auto"/>
          <w:highlight w:val="none"/>
          <w:lang w:eastAsia="zh-CN"/>
        </w:rPr>
        <w:t>”</w:t>
      </w:r>
      <w:r>
        <w:rPr>
          <w:rFonts w:hint="eastAsia" w:eastAsia="仿宋_GB2312"/>
          <w:color w:val="auto"/>
          <w:highlight w:val="none"/>
        </w:rPr>
        <w:t>，文化设施实现全覆盖，基本公共</w:t>
      </w:r>
      <w:r>
        <w:rPr>
          <w:rFonts w:hint="eastAsia" w:eastAsia="仿宋_GB2312"/>
          <w:color w:val="auto"/>
          <w:highlight w:val="none"/>
          <w:lang w:eastAsia="zh-CN"/>
        </w:rPr>
        <w:t>文化</w:t>
      </w:r>
      <w:r>
        <w:rPr>
          <w:rFonts w:hint="eastAsia" w:eastAsia="仿宋_GB2312"/>
          <w:color w:val="auto"/>
          <w:highlight w:val="none"/>
        </w:rPr>
        <w:t>服务标准化建设位居全省前列，在全省率先实现农村公益电影全覆盖，</w:t>
      </w:r>
      <w:r>
        <w:rPr>
          <w:rFonts w:eastAsia="仿宋_GB2312"/>
          <w:color w:val="auto"/>
          <w:highlight w:val="none"/>
        </w:rPr>
        <w:t>3</w:t>
      </w:r>
      <w:r>
        <w:rPr>
          <w:rFonts w:hint="eastAsia" w:eastAsia="仿宋_GB2312"/>
          <w:color w:val="auto"/>
          <w:highlight w:val="none"/>
        </w:rPr>
        <w:t>首原创歌曲和</w:t>
      </w:r>
      <w:r>
        <w:rPr>
          <w:rFonts w:eastAsia="仿宋_GB2312"/>
          <w:color w:val="auto"/>
          <w:highlight w:val="none"/>
        </w:rPr>
        <w:t>14</w:t>
      </w:r>
      <w:r>
        <w:rPr>
          <w:rFonts w:hint="eastAsia" w:eastAsia="仿宋_GB2312"/>
          <w:color w:val="auto"/>
          <w:highlight w:val="none"/>
        </w:rPr>
        <w:t>个舞蹈艺术精品获国家及省级奖项，省级文化产业示范基地达到</w:t>
      </w:r>
      <w:r>
        <w:rPr>
          <w:rFonts w:eastAsia="仿宋_GB2312"/>
          <w:color w:val="auto"/>
          <w:highlight w:val="none"/>
        </w:rPr>
        <w:t>8</w:t>
      </w:r>
      <w:r>
        <w:rPr>
          <w:rFonts w:hint="eastAsia" w:eastAsia="仿宋_GB2312"/>
          <w:color w:val="auto"/>
          <w:highlight w:val="none"/>
        </w:rPr>
        <w:t>家，</w:t>
      </w:r>
      <w:r>
        <w:rPr>
          <w:rFonts w:eastAsia="仿宋_GB2312"/>
          <w:color w:val="auto"/>
          <w:highlight w:val="none"/>
        </w:rPr>
        <w:t>5</w:t>
      </w:r>
      <w:r>
        <w:rPr>
          <w:rFonts w:hint="eastAsia" w:eastAsia="仿宋_GB2312"/>
          <w:color w:val="auto"/>
          <w:highlight w:val="none"/>
        </w:rPr>
        <w:t>家企业获评河北省知名文化企业</w:t>
      </w:r>
      <w:r>
        <w:rPr>
          <w:rFonts w:eastAsia="仿宋_GB2312"/>
          <w:color w:val="auto"/>
          <w:highlight w:val="none"/>
        </w:rPr>
        <w:t>30</w:t>
      </w:r>
      <w:r>
        <w:rPr>
          <w:rFonts w:hint="eastAsia" w:eastAsia="仿宋_GB2312"/>
          <w:color w:val="auto"/>
          <w:highlight w:val="none"/>
        </w:rPr>
        <w:t>强，文化产业增加值占</w:t>
      </w:r>
      <w:r>
        <w:rPr>
          <w:rFonts w:eastAsia="仿宋_GB2312"/>
          <w:color w:val="auto"/>
          <w:highlight w:val="none"/>
        </w:rPr>
        <w:t>GDP</w:t>
      </w:r>
      <w:r>
        <w:rPr>
          <w:rFonts w:hint="eastAsia" w:eastAsia="仿宋_GB2312"/>
          <w:color w:val="auto"/>
          <w:highlight w:val="none"/>
        </w:rPr>
        <w:t>比重达到</w:t>
      </w:r>
      <w:r>
        <w:rPr>
          <w:rFonts w:eastAsia="仿宋_GB2312"/>
          <w:color w:val="auto"/>
          <w:highlight w:val="none"/>
        </w:rPr>
        <w:t>3.24%</w:t>
      </w:r>
      <w:r>
        <w:rPr>
          <w:rFonts w:hint="eastAsia" w:eastAsia="仿宋_GB2312"/>
          <w:color w:val="auto"/>
          <w:highlight w:val="none"/>
        </w:rPr>
        <w:t>，增速全省第一</w:t>
      </w:r>
      <w:r>
        <w:rPr>
          <w:rFonts w:hint="eastAsia" w:eastAsia="仿宋_GB2312"/>
          <w:color w:val="auto"/>
          <w:highlight w:val="none"/>
          <w:lang w:eastAsia="zh-CN"/>
        </w:rPr>
        <w:t>。</w:t>
      </w:r>
      <w:r>
        <w:rPr>
          <w:rFonts w:hint="eastAsia" w:eastAsia="仿宋_GB2312"/>
          <w:color w:val="auto"/>
          <w:highlight w:val="none"/>
        </w:rPr>
        <w:t>秦皇岛国际马拉松、北戴河国际轮滑节、世界徒步大会、中式台球国际大师赛等重大赛事活动影响广泛，全民健身蔚然成风，行政村和社区健身器材覆盖率</w:t>
      </w:r>
      <w:r>
        <w:rPr>
          <w:rFonts w:eastAsia="仿宋_GB2312"/>
          <w:color w:val="auto"/>
          <w:highlight w:val="none"/>
        </w:rPr>
        <w:t>100%</w:t>
      </w:r>
      <w:r>
        <w:rPr>
          <w:rFonts w:hint="eastAsia" w:eastAsia="仿宋_GB2312"/>
          <w:color w:val="auto"/>
          <w:highlight w:val="none"/>
        </w:rPr>
        <w:t>，建成城市</w:t>
      </w:r>
      <w:r>
        <w:rPr>
          <w:rFonts w:eastAsia="仿宋_GB2312"/>
          <w:color w:val="auto"/>
          <w:highlight w:val="none"/>
        </w:rPr>
        <w:t>15</w:t>
      </w:r>
      <w:r>
        <w:rPr>
          <w:rFonts w:hint="eastAsia" w:eastAsia="仿宋_GB2312"/>
          <w:color w:val="auto"/>
          <w:highlight w:val="none"/>
        </w:rPr>
        <w:t>分钟健身圈，人均体育场地面积达到</w:t>
      </w:r>
      <w:r>
        <w:rPr>
          <w:rFonts w:eastAsia="仿宋_GB2312"/>
          <w:color w:val="auto"/>
          <w:highlight w:val="none"/>
        </w:rPr>
        <w:t>2.89</w:t>
      </w:r>
      <w:r>
        <w:rPr>
          <w:rFonts w:hint="eastAsia" w:eastAsia="仿宋_GB2312"/>
          <w:color w:val="auto"/>
          <w:highlight w:val="none"/>
        </w:rPr>
        <w:t>平方米，居全国前列。我市在中国地级市民生发展</w:t>
      </w:r>
      <w:r>
        <w:rPr>
          <w:rFonts w:eastAsia="仿宋_GB2312"/>
          <w:color w:val="auto"/>
          <w:highlight w:val="none"/>
        </w:rPr>
        <w:t>100</w:t>
      </w:r>
      <w:r>
        <w:rPr>
          <w:rFonts w:hint="eastAsia" w:eastAsia="仿宋_GB2312"/>
          <w:color w:val="auto"/>
          <w:highlight w:val="none"/>
        </w:rPr>
        <w:t>强中排名由</w:t>
      </w:r>
      <w:r>
        <w:rPr>
          <w:rFonts w:eastAsia="仿宋_GB2312"/>
          <w:color w:val="auto"/>
          <w:highlight w:val="none"/>
        </w:rPr>
        <w:t>68</w:t>
      </w:r>
      <w:r>
        <w:rPr>
          <w:rFonts w:hint="eastAsia" w:eastAsia="仿宋_GB2312"/>
          <w:color w:val="auto"/>
          <w:highlight w:val="none"/>
        </w:rPr>
        <w:t>位跃升至</w:t>
      </w:r>
      <w:r>
        <w:rPr>
          <w:rFonts w:eastAsia="仿宋_GB2312"/>
          <w:color w:val="auto"/>
          <w:highlight w:val="none"/>
        </w:rPr>
        <w:t>25</w:t>
      </w:r>
      <w:r>
        <w:rPr>
          <w:rFonts w:hint="eastAsia" w:eastAsia="仿宋_GB2312"/>
          <w:color w:val="auto"/>
          <w:highlight w:val="none"/>
        </w:rPr>
        <w:t>位。</w:t>
      </w:r>
    </w:p>
    <w:p w14:paraId="48BDE364">
      <w:pPr>
        <w:spacing w:line="560" w:lineRule="exact"/>
        <w:ind w:firstLine="640" w:firstLineChars="200"/>
        <w:outlineLvl w:val="2"/>
        <w:rPr>
          <w:b w:val="0"/>
          <w:bCs w:val="0"/>
          <w:color w:val="auto"/>
          <w:highlight w:val="none"/>
        </w:rPr>
      </w:pPr>
      <w:bookmarkStart w:id="127" w:name="_Toc11074"/>
      <w:bookmarkStart w:id="128" w:name="_Toc2765"/>
      <w:bookmarkStart w:id="129" w:name="_Toc3173"/>
      <w:r>
        <w:rPr>
          <w:rFonts w:hint="eastAsia"/>
          <w:b w:val="0"/>
          <w:bCs w:val="0"/>
          <w:color w:val="auto"/>
          <w:highlight w:val="none"/>
        </w:rPr>
        <w:t>（七）社会治理体系和治理能力全面增强</w:t>
      </w:r>
      <w:bookmarkEnd w:id="127"/>
      <w:bookmarkEnd w:id="128"/>
      <w:bookmarkEnd w:id="129"/>
    </w:p>
    <w:p w14:paraId="736A3B69">
      <w:pPr>
        <w:adjustRightInd w:val="0"/>
        <w:snapToGrid w:val="0"/>
        <w:spacing w:line="560" w:lineRule="exact"/>
        <w:ind w:firstLine="640" w:firstLineChars="200"/>
        <w:textAlignment w:val="center"/>
        <w:rPr>
          <w:rFonts w:eastAsia="仿宋_GB2312"/>
          <w:color w:val="auto"/>
          <w:highlight w:val="none"/>
        </w:rPr>
      </w:pPr>
      <w:r>
        <w:rPr>
          <w:rFonts w:hint="eastAsia" w:eastAsia="仿宋_GB2312"/>
          <w:color w:val="auto"/>
          <w:highlight w:val="none"/>
        </w:rPr>
        <w:t>全国市域社会治理现代化试点工作取得新进展。网格化治理体系不断完善，智慧社区建设取得新成效，矛盾纠纷多元化解机制不断健全。法治政府建设实现新提升，出台市政府规章</w:t>
      </w:r>
      <w:r>
        <w:rPr>
          <w:rFonts w:eastAsia="仿宋_GB2312"/>
          <w:color w:val="auto"/>
          <w:highlight w:val="none"/>
        </w:rPr>
        <w:t>9</w:t>
      </w:r>
      <w:r>
        <w:rPr>
          <w:rFonts w:hint="eastAsia" w:eastAsia="仿宋_GB2312"/>
          <w:color w:val="auto"/>
          <w:highlight w:val="none"/>
        </w:rPr>
        <w:t>部，完成地方性法规草案</w:t>
      </w:r>
      <w:r>
        <w:rPr>
          <w:rFonts w:eastAsia="仿宋_GB2312"/>
          <w:color w:val="auto"/>
          <w:highlight w:val="none"/>
        </w:rPr>
        <w:t>12</w:t>
      </w:r>
      <w:r>
        <w:rPr>
          <w:rFonts w:hint="eastAsia" w:eastAsia="仿宋_GB2312"/>
          <w:color w:val="auto"/>
          <w:highlight w:val="none"/>
        </w:rPr>
        <w:t>部，《秦皇岛市海水浴场管理条例》成为全国首部专项领域地方性法规，获评全国</w:t>
      </w:r>
      <w:r>
        <w:rPr>
          <w:rFonts w:hint="eastAsia" w:eastAsia="仿宋_GB2312"/>
          <w:color w:val="auto"/>
          <w:highlight w:val="none"/>
          <w:lang w:eastAsia="zh-CN"/>
        </w:rPr>
        <w:t>“</w:t>
      </w:r>
      <w:r>
        <w:rPr>
          <w:rFonts w:hint="eastAsia" w:eastAsia="仿宋_GB2312"/>
          <w:color w:val="auto"/>
          <w:highlight w:val="none"/>
        </w:rPr>
        <w:t>六五</w:t>
      </w:r>
      <w:r>
        <w:rPr>
          <w:rFonts w:hint="eastAsia" w:eastAsia="仿宋_GB2312"/>
          <w:color w:val="auto"/>
          <w:highlight w:val="none"/>
          <w:lang w:eastAsia="zh-CN"/>
        </w:rPr>
        <w:t>”</w:t>
      </w:r>
      <w:r>
        <w:rPr>
          <w:rFonts w:hint="eastAsia" w:eastAsia="仿宋_GB2312"/>
          <w:color w:val="auto"/>
          <w:highlight w:val="none"/>
        </w:rPr>
        <w:t>普法先进市，</w:t>
      </w:r>
      <w:r>
        <w:rPr>
          <w:rFonts w:eastAsia="仿宋_GB2312"/>
          <w:color w:val="auto"/>
          <w:highlight w:val="none"/>
        </w:rPr>
        <w:t>10</w:t>
      </w:r>
      <w:r>
        <w:rPr>
          <w:rFonts w:hint="eastAsia" w:eastAsia="仿宋_GB2312"/>
          <w:color w:val="auto"/>
          <w:highlight w:val="none"/>
        </w:rPr>
        <w:t>个村（社区）获评全国民主法治示范村（社区）。旅游旺季服务保障工作连续多年实现</w:t>
      </w:r>
      <w:r>
        <w:rPr>
          <w:rFonts w:hint="eastAsia" w:eastAsia="仿宋_GB2312"/>
          <w:color w:val="auto"/>
          <w:highlight w:val="none"/>
          <w:lang w:eastAsia="zh-CN"/>
        </w:rPr>
        <w:t>“</w:t>
      </w:r>
      <w:r>
        <w:rPr>
          <w:rFonts w:hint="eastAsia" w:eastAsia="仿宋_GB2312"/>
          <w:color w:val="auto"/>
          <w:highlight w:val="none"/>
        </w:rPr>
        <w:t>历史最好</w:t>
      </w:r>
      <w:r>
        <w:rPr>
          <w:rFonts w:hint="eastAsia" w:eastAsia="仿宋_GB2312"/>
          <w:color w:val="auto"/>
          <w:highlight w:val="none"/>
          <w:lang w:eastAsia="zh-CN"/>
        </w:rPr>
        <w:t>”</w:t>
      </w:r>
      <w:r>
        <w:rPr>
          <w:rFonts w:hint="eastAsia" w:eastAsia="仿宋_GB2312"/>
          <w:color w:val="auto"/>
          <w:highlight w:val="none"/>
        </w:rPr>
        <w:t>，信访工作实现</w:t>
      </w:r>
      <w:r>
        <w:rPr>
          <w:rFonts w:hint="eastAsia" w:eastAsia="仿宋_GB2312"/>
          <w:color w:val="auto"/>
          <w:highlight w:val="none"/>
          <w:lang w:eastAsia="zh-CN"/>
        </w:rPr>
        <w:t>“</w:t>
      </w:r>
      <w:r>
        <w:rPr>
          <w:rFonts w:hint="eastAsia" w:eastAsia="仿宋_GB2312"/>
          <w:color w:val="auto"/>
          <w:highlight w:val="none"/>
        </w:rPr>
        <w:t>七个下降</w:t>
      </w:r>
      <w:r>
        <w:rPr>
          <w:rFonts w:hint="eastAsia" w:eastAsia="仿宋_GB2312"/>
          <w:color w:val="auto"/>
          <w:highlight w:val="none"/>
          <w:lang w:eastAsia="zh-CN"/>
        </w:rPr>
        <w:t>”</w:t>
      </w:r>
      <w:r>
        <w:rPr>
          <w:rFonts w:hint="eastAsia" w:eastAsia="仿宋_GB2312"/>
          <w:color w:val="auto"/>
          <w:highlight w:val="none"/>
        </w:rPr>
        <w:t>，扫黑除恶专项斗争取得明显成效，食品药品安全治理力度持续加大，应急管理体制机制建设取得明显成效，防灾救灾减灾能力不断增强，安全生产形势持续稳定向好，退役军人服务管理工作扎实有效，国防动员和双拥共建深入开展，成功实现全国</w:t>
      </w:r>
      <w:r>
        <w:rPr>
          <w:rFonts w:eastAsia="仿宋_GB2312"/>
          <w:color w:val="auto"/>
          <w:highlight w:val="none"/>
        </w:rPr>
        <w:t xml:space="preserve"> </w:t>
      </w:r>
      <w:r>
        <w:rPr>
          <w:rFonts w:hint="eastAsia" w:eastAsia="仿宋_GB2312"/>
          <w:color w:val="auto"/>
          <w:highlight w:val="none"/>
          <w:lang w:eastAsia="zh-CN"/>
        </w:rPr>
        <w:t>“</w:t>
      </w:r>
      <w:r>
        <w:rPr>
          <w:rFonts w:hint="eastAsia" w:eastAsia="仿宋_GB2312"/>
          <w:color w:val="auto"/>
          <w:highlight w:val="none"/>
        </w:rPr>
        <w:t>双拥模范城</w:t>
      </w:r>
      <w:r>
        <w:rPr>
          <w:rFonts w:hint="eastAsia" w:eastAsia="仿宋_GB2312"/>
          <w:color w:val="auto"/>
          <w:highlight w:val="none"/>
          <w:lang w:eastAsia="zh-CN"/>
        </w:rPr>
        <w:t>”</w:t>
      </w:r>
      <w:r>
        <w:rPr>
          <w:rFonts w:hint="eastAsia" w:eastAsia="仿宋_GB2312"/>
          <w:color w:val="auto"/>
          <w:highlight w:val="none"/>
        </w:rPr>
        <w:t>七连冠，史志、地震、人防、对台、侨务、民族、宗教、青少年、妇女儿童、慈善、红十字、残疾人等各项工作取得积极进展，城市美誉度、综合竞争力、干部精气神、群众获得感大幅提升。</w:t>
      </w:r>
      <w:bookmarkEnd w:id="108"/>
    </w:p>
    <w:p w14:paraId="228281FB">
      <w:pPr>
        <w:spacing w:line="560" w:lineRule="exact"/>
        <w:ind w:firstLine="640" w:firstLineChars="200"/>
        <w:outlineLvl w:val="2"/>
        <w:rPr>
          <w:b w:val="0"/>
          <w:bCs w:val="0"/>
          <w:color w:val="auto"/>
          <w:highlight w:val="none"/>
        </w:rPr>
      </w:pPr>
      <w:bookmarkStart w:id="130" w:name="_Toc19050"/>
      <w:r>
        <w:rPr>
          <w:rFonts w:hint="eastAsia"/>
          <w:b w:val="0"/>
          <w:bCs w:val="0"/>
          <w:color w:val="auto"/>
          <w:highlight w:val="none"/>
        </w:rPr>
        <w:t>（八）党的领导全面加强</w:t>
      </w:r>
      <w:bookmarkEnd w:id="130"/>
    </w:p>
    <w:p w14:paraId="3C61FA8B">
      <w:pPr>
        <w:adjustRightInd w:val="0"/>
        <w:snapToGrid w:val="0"/>
        <w:spacing w:line="560" w:lineRule="exact"/>
        <w:ind w:firstLine="640" w:firstLineChars="200"/>
        <w:textAlignment w:val="center"/>
        <w:rPr>
          <w:rFonts w:eastAsia="仿宋_GB2312"/>
          <w:color w:val="auto"/>
          <w:highlight w:val="none"/>
        </w:rPr>
      </w:pPr>
      <w:r>
        <w:rPr>
          <w:rFonts w:hint="eastAsia" w:eastAsia="仿宋_GB2312"/>
          <w:color w:val="auto"/>
          <w:highlight w:val="none"/>
        </w:rPr>
        <w:t>把筑牢首都政治</w:t>
      </w:r>
      <w:r>
        <w:rPr>
          <w:rFonts w:hint="eastAsia" w:eastAsia="仿宋_GB2312"/>
          <w:color w:val="auto"/>
          <w:highlight w:val="none"/>
          <w:lang w:eastAsia="zh-CN"/>
        </w:rPr>
        <w:t>“</w:t>
      </w:r>
      <w:r>
        <w:rPr>
          <w:rFonts w:hint="eastAsia" w:eastAsia="仿宋_GB2312"/>
          <w:color w:val="auto"/>
          <w:highlight w:val="none"/>
        </w:rPr>
        <w:t>护城河</w:t>
      </w:r>
      <w:r>
        <w:rPr>
          <w:rFonts w:hint="eastAsia" w:eastAsia="仿宋_GB2312"/>
          <w:color w:val="auto"/>
          <w:highlight w:val="none"/>
          <w:lang w:eastAsia="zh-CN"/>
        </w:rPr>
        <w:t>”的</w:t>
      </w:r>
      <w:r>
        <w:rPr>
          <w:rFonts w:hint="eastAsia" w:eastAsia="仿宋_GB2312"/>
          <w:color w:val="auto"/>
          <w:highlight w:val="none"/>
        </w:rPr>
        <w:t>秦皇岛防线作为政治之责、为政之要，严明政治纪律和政治规矩，切实增强</w:t>
      </w:r>
      <w:r>
        <w:rPr>
          <w:rFonts w:hint="eastAsia" w:eastAsia="仿宋_GB2312"/>
          <w:color w:val="auto"/>
          <w:highlight w:val="none"/>
          <w:lang w:eastAsia="zh-CN"/>
        </w:rPr>
        <w:t>“</w:t>
      </w:r>
      <w:r>
        <w:rPr>
          <w:rFonts w:hint="eastAsia" w:eastAsia="仿宋_GB2312"/>
          <w:color w:val="auto"/>
          <w:highlight w:val="none"/>
        </w:rPr>
        <w:t>四个意识</w:t>
      </w:r>
      <w:r>
        <w:rPr>
          <w:rFonts w:hint="eastAsia" w:eastAsia="仿宋_GB2312"/>
          <w:color w:val="auto"/>
          <w:highlight w:val="none"/>
          <w:lang w:eastAsia="zh-CN"/>
        </w:rPr>
        <w:t>”</w:t>
      </w:r>
      <w:r>
        <w:rPr>
          <w:rFonts w:hint="eastAsia" w:eastAsia="仿宋_GB2312"/>
          <w:color w:val="auto"/>
          <w:highlight w:val="none"/>
        </w:rPr>
        <w:t>、坚定</w:t>
      </w:r>
      <w:r>
        <w:rPr>
          <w:rFonts w:hint="eastAsia" w:eastAsia="仿宋_GB2312"/>
          <w:color w:val="auto"/>
          <w:highlight w:val="none"/>
          <w:lang w:eastAsia="zh-CN"/>
        </w:rPr>
        <w:t>“</w:t>
      </w:r>
      <w:r>
        <w:rPr>
          <w:rFonts w:hint="eastAsia" w:eastAsia="仿宋_GB2312"/>
          <w:color w:val="auto"/>
          <w:highlight w:val="none"/>
        </w:rPr>
        <w:t>四个自信</w:t>
      </w:r>
      <w:r>
        <w:rPr>
          <w:rFonts w:hint="eastAsia" w:eastAsia="仿宋_GB2312"/>
          <w:color w:val="auto"/>
          <w:highlight w:val="none"/>
          <w:lang w:eastAsia="zh-CN"/>
        </w:rPr>
        <w:t>”</w:t>
      </w:r>
      <w:r>
        <w:rPr>
          <w:rFonts w:hint="eastAsia" w:eastAsia="仿宋_GB2312"/>
          <w:color w:val="auto"/>
          <w:highlight w:val="none"/>
        </w:rPr>
        <w:t>、做到</w:t>
      </w:r>
      <w:r>
        <w:rPr>
          <w:rFonts w:hint="eastAsia" w:eastAsia="仿宋_GB2312"/>
          <w:color w:val="auto"/>
          <w:highlight w:val="none"/>
          <w:lang w:eastAsia="zh-CN"/>
        </w:rPr>
        <w:t>“</w:t>
      </w:r>
      <w:r>
        <w:rPr>
          <w:rFonts w:hint="eastAsia" w:eastAsia="仿宋_GB2312"/>
          <w:color w:val="auto"/>
          <w:highlight w:val="none"/>
        </w:rPr>
        <w:t>两个维护</w:t>
      </w:r>
      <w:r>
        <w:rPr>
          <w:rFonts w:hint="eastAsia" w:eastAsia="仿宋_GB2312"/>
          <w:color w:val="auto"/>
          <w:highlight w:val="none"/>
          <w:lang w:eastAsia="zh-CN"/>
        </w:rPr>
        <w:t>”。贯彻落实</w:t>
      </w:r>
      <w:r>
        <w:rPr>
          <w:rFonts w:hint="eastAsia" w:eastAsia="仿宋_GB2312"/>
          <w:color w:val="auto"/>
          <w:highlight w:val="none"/>
        </w:rPr>
        <w:t>习近平总书记重要指示批示和党中央重大决策部署，确保政令畅通、令行禁止。</w:t>
      </w:r>
      <w:r>
        <w:rPr>
          <w:rFonts w:hint="eastAsia" w:eastAsia="仿宋_GB2312"/>
          <w:color w:val="auto"/>
          <w:highlight w:val="none"/>
          <w:lang w:eastAsia="zh-CN"/>
        </w:rPr>
        <w:t>坚持“</w:t>
      </w:r>
      <w:r>
        <w:rPr>
          <w:rFonts w:hint="eastAsia" w:eastAsia="仿宋_GB2312"/>
          <w:color w:val="auto"/>
          <w:highlight w:val="none"/>
        </w:rPr>
        <w:t>两学一做</w:t>
      </w:r>
      <w:r>
        <w:rPr>
          <w:rFonts w:hint="eastAsia" w:eastAsia="仿宋_GB2312"/>
          <w:color w:val="auto"/>
          <w:highlight w:val="none"/>
          <w:lang w:eastAsia="zh-CN"/>
        </w:rPr>
        <w:t>”</w:t>
      </w:r>
      <w:r>
        <w:rPr>
          <w:rFonts w:hint="eastAsia" w:eastAsia="仿宋_GB2312"/>
          <w:color w:val="auto"/>
          <w:highlight w:val="none"/>
        </w:rPr>
        <w:t>学习教育常态化制度化，深入开展</w:t>
      </w:r>
      <w:r>
        <w:rPr>
          <w:rFonts w:hint="eastAsia" w:eastAsia="仿宋_GB2312"/>
          <w:color w:val="auto"/>
          <w:highlight w:val="none"/>
          <w:lang w:eastAsia="zh-CN"/>
        </w:rPr>
        <w:t>“</w:t>
      </w:r>
      <w:r>
        <w:rPr>
          <w:rFonts w:hint="eastAsia" w:eastAsia="仿宋_GB2312"/>
          <w:color w:val="auto"/>
          <w:highlight w:val="none"/>
        </w:rPr>
        <w:t>不忘初心</w:t>
      </w:r>
      <w:r>
        <w:rPr>
          <w:rFonts w:hint="eastAsia" w:eastAsia="仿宋_GB2312"/>
          <w:color w:val="auto"/>
          <w:highlight w:val="none"/>
          <w:lang w:eastAsia="zh-CN"/>
        </w:rPr>
        <w:t>、</w:t>
      </w:r>
      <w:r>
        <w:rPr>
          <w:rFonts w:hint="eastAsia" w:eastAsia="仿宋_GB2312"/>
          <w:color w:val="auto"/>
          <w:highlight w:val="none"/>
        </w:rPr>
        <w:t>牢记使命</w:t>
      </w:r>
      <w:r>
        <w:rPr>
          <w:rFonts w:hint="eastAsia" w:eastAsia="仿宋_GB2312"/>
          <w:color w:val="auto"/>
          <w:highlight w:val="none"/>
          <w:lang w:eastAsia="zh-CN"/>
        </w:rPr>
        <w:t>”</w:t>
      </w:r>
      <w:r>
        <w:rPr>
          <w:rFonts w:hint="eastAsia" w:eastAsia="仿宋_GB2312"/>
          <w:color w:val="auto"/>
          <w:highlight w:val="none"/>
        </w:rPr>
        <w:t>主题教育，全市各级党员干部自觉同以习近平同志为核心的党中央保持高度一致，对党绝对忠诚。意识形态工作持续加强，社会主义核心价值观深入人心。坚持新时代好干部标准，正确选人用人</w:t>
      </w:r>
      <w:r>
        <w:rPr>
          <w:rFonts w:hint="eastAsia" w:eastAsia="仿宋_GB2312"/>
          <w:color w:val="auto"/>
          <w:highlight w:val="none"/>
          <w:lang w:eastAsia="zh-CN"/>
        </w:rPr>
        <w:t>，</w:t>
      </w:r>
      <w:r>
        <w:rPr>
          <w:rFonts w:hint="eastAsia" w:eastAsia="仿宋_GB2312"/>
          <w:color w:val="auto"/>
          <w:highlight w:val="none"/>
        </w:rPr>
        <w:t>强化各级领导班子和基层组织建设，打造坚强战斗堡垒，党的建设质量明显提升。以永远在路上的坚韧和执着推动全面从严治党向纵深发展，持续推进纠正</w:t>
      </w:r>
      <w:r>
        <w:rPr>
          <w:rFonts w:hint="eastAsia" w:eastAsia="仿宋_GB2312"/>
          <w:color w:val="auto"/>
          <w:highlight w:val="none"/>
          <w:lang w:eastAsia="zh-CN"/>
        </w:rPr>
        <w:t>“</w:t>
      </w:r>
      <w:r>
        <w:rPr>
          <w:rFonts w:hint="eastAsia" w:eastAsia="仿宋_GB2312"/>
          <w:color w:val="auto"/>
          <w:highlight w:val="none"/>
        </w:rPr>
        <w:t>四风</w:t>
      </w:r>
      <w:r>
        <w:rPr>
          <w:rFonts w:hint="eastAsia" w:eastAsia="仿宋_GB2312"/>
          <w:color w:val="auto"/>
          <w:highlight w:val="none"/>
          <w:lang w:eastAsia="zh-CN"/>
        </w:rPr>
        <w:t>”</w:t>
      </w:r>
      <w:r>
        <w:rPr>
          <w:rFonts w:hint="eastAsia" w:eastAsia="仿宋_GB2312"/>
          <w:color w:val="auto"/>
          <w:highlight w:val="none"/>
        </w:rPr>
        <w:t>和作风纪律专项整治，严格</w:t>
      </w:r>
      <w:r>
        <w:rPr>
          <w:rFonts w:hint="eastAsia" w:eastAsia="仿宋_GB2312"/>
          <w:color w:val="auto"/>
          <w:highlight w:val="none"/>
          <w:lang w:eastAsia="zh-CN"/>
        </w:rPr>
        <w:t>落实</w:t>
      </w:r>
      <w:r>
        <w:rPr>
          <w:rFonts w:hint="eastAsia" w:eastAsia="仿宋_GB2312"/>
          <w:color w:val="auto"/>
          <w:highlight w:val="none"/>
        </w:rPr>
        <w:t>中央八项规定</w:t>
      </w:r>
      <w:r>
        <w:rPr>
          <w:rFonts w:hint="eastAsia" w:eastAsia="仿宋_GB2312"/>
          <w:color w:val="auto"/>
          <w:highlight w:val="none"/>
          <w:lang w:eastAsia="zh-CN"/>
        </w:rPr>
        <w:t>及其</w:t>
      </w:r>
      <w:r>
        <w:rPr>
          <w:rFonts w:hint="eastAsia" w:eastAsia="仿宋_GB2312"/>
          <w:color w:val="auto"/>
          <w:highlight w:val="none"/>
        </w:rPr>
        <w:t>实施细则</w:t>
      </w:r>
      <w:r>
        <w:rPr>
          <w:rFonts w:hint="eastAsia" w:eastAsia="仿宋_GB2312"/>
          <w:color w:val="auto"/>
          <w:highlight w:val="none"/>
          <w:lang w:eastAsia="zh-CN"/>
        </w:rPr>
        <w:t>精神</w:t>
      </w:r>
      <w:r>
        <w:rPr>
          <w:rFonts w:hint="eastAsia" w:eastAsia="仿宋_GB2312"/>
          <w:color w:val="auto"/>
          <w:highlight w:val="none"/>
        </w:rPr>
        <w:t>，构建一体推进不敢腐、不能腐、不想腐的体制机制，反腐败斗争压倒性胜利得到巩固和发展，风清气正、凝心聚力、干事创业的良好政治生态加速形成。</w:t>
      </w:r>
    </w:p>
    <w:p w14:paraId="782FC039">
      <w:pPr>
        <w:adjustRightInd w:val="0"/>
        <w:snapToGrid w:val="0"/>
        <w:spacing w:line="560" w:lineRule="exact"/>
        <w:ind w:firstLine="640" w:firstLineChars="200"/>
        <w:textAlignment w:val="center"/>
        <w:rPr>
          <w:rFonts w:eastAsia="仿宋_GB2312"/>
          <w:color w:val="auto"/>
          <w:highlight w:val="none"/>
        </w:rPr>
      </w:pPr>
      <w:r>
        <w:rPr>
          <w:rFonts w:hint="eastAsia" w:eastAsia="仿宋_GB2312"/>
          <w:color w:val="auto"/>
          <w:highlight w:val="none"/>
        </w:rPr>
        <w:t>在</w:t>
      </w:r>
      <w:r>
        <w:rPr>
          <w:rFonts w:hint="eastAsia" w:eastAsia="仿宋_GB2312"/>
          <w:color w:val="auto"/>
          <w:highlight w:val="none"/>
          <w:lang w:eastAsia="zh-CN"/>
        </w:rPr>
        <w:t>“</w:t>
      </w:r>
      <w:r>
        <w:rPr>
          <w:rFonts w:hint="eastAsia" w:eastAsia="仿宋_GB2312"/>
          <w:color w:val="auto"/>
          <w:highlight w:val="none"/>
        </w:rPr>
        <w:t>十三五</w:t>
      </w:r>
      <w:r>
        <w:rPr>
          <w:rFonts w:hint="eastAsia" w:eastAsia="仿宋_GB2312"/>
          <w:color w:val="auto"/>
          <w:highlight w:val="none"/>
          <w:lang w:eastAsia="zh-CN"/>
        </w:rPr>
        <w:t>”</w:t>
      </w:r>
      <w:r>
        <w:rPr>
          <w:rFonts w:hint="eastAsia" w:eastAsia="仿宋_GB2312"/>
          <w:color w:val="auto"/>
          <w:highlight w:val="none"/>
        </w:rPr>
        <w:t>规划收官之年，面对</w:t>
      </w:r>
      <w:r>
        <w:rPr>
          <w:rFonts w:hint="eastAsia" w:eastAsia="仿宋_GB2312"/>
          <w:color w:val="auto"/>
          <w:highlight w:val="none"/>
          <w:lang w:eastAsia="zh-CN"/>
        </w:rPr>
        <w:t>突如其来的</w:t>
      </w:r>
      <w:r>
        <w:rPr>
          <w:rFonts w:hint="eastAsia" w:eastAsia="仿宋_GB2312"/>
          <w:color w:val="auto"/>
          <w:highlight w:val="none"/>
        </w:rPr>
        <w:t>新冠肺炎疫情</w:t>
      </w:r>
      <w:r>
        <w:rPr>
          <w:rFonts w:hint="eastAsia" w:eastAsia="仿宋_GB2312"/>
          <w:color w:val="auto"/>
          <w:highlight w:val="none"/>
          <w:lang w:eastAsia="zh-CN"/>
        </w:rPr>
        <w:t>冲击，</w:t>
      </w:r>
      <w:r>
        <w:rPr>
          <w:rFonts w:hint="eastAsia" w:eastAsia="仿宋_GB2312"/>
          <w:color w:val="auto"/>
          <w:highlight w:val="none"/>
        </w:rPr>
        <w:t>在党中央、国务院和省委、省政府坚强领导下，市委、市政府坚持</w:t>
      </w:r>
      <w:r>
        <w:rPr>
          <w:rFonts w:hint="eastAsia" w:eastAsia="仿宋_GB2312"/>
          <w:color w:val="auto"/>
          <w:highlight w:val="none"/>
          <w:lang w:eastAsia="zh-CN"/>
        </w:rPr>
        <w:t>人民至上、生命至上，</w:t>
      </w:r>
      <w:r>
        <w:rPr>
          <w:rFonts w:hint="eastAsia" w:eastAsia="仿宋_GB2312"/>
          <w:color w:val="auto"/>
          <w:highlight w:val="none"/>
        </w:rPr>
        <w:t>按照</w:t>
      </w:r>
      <w:r>
        <w:rPr>
          <w:rFonts w:hint="eastAsia" w:eastAsia="仿宋_GB2312"/>
          <w:color w:val="auto"/>
          <w:highlight w:val="none"/>
          <w:lang w:eastAsia="zh-CN"/>
        </w:rPr>
        <w:t>“</w:t>
      </w:r>
      <w:r>
        <w:rPr>
          <w:rFonts w:hint="eastAsia" w:eastAsia="仿宋_GB2312"/>
          <w:color w:val="auto"/>
          <w:highlight w:val="none"/>
        </w:rPr>
        <w:t>坚定信心、同舟共济、科学防治、精准施策</w:t>
      </w:r>
      <w:r>
        <w:rPr>
          <w:rFonts w:hint="eastAsia" w:eastAsia="仿宋_GB2312"/>
          <w:color w:val="auto"/>
          <w:highlight w:val="none"/>
          <w:lang w:eastAsia="zh-CN"/>
        </w:rPr>
        <w:t>”</w:t>
      </w:r>
      <w:r>
        <w:rPr>
          <w:rFonts w:hint="eastAsia" w:eastAsia="仿宋_GB2312"/>
          <w:color w:val="auto"/>
          <w:highlight w:val="none"/>
        </w:rPr>
        <w:t>的总要求，高站位、早响应、快落实，全力加强疫情防控和病患救治，全力支援湖北</w:t>
      </w:r>
      <w:r>
        <w:rPr>
          <w:rFonts w:hint="eastAsia" w:eastAsia="仿宋_GB2312"/>
          <w:color w:val="auto"/>
          <w:highlight w:val="none"/>
          <w:lang w:eastAsia="zh-CN"/>
        </w:rPr>
        <w:t>武汉</w:t>
      </w:r>
      <w:r>
        <w:rPr>
          <w:rFonts w:hint="eastAsia" w:eastAsia="仿宋_GB2312"/>
          <w:color w:val="auto"/>
          <w:highlight w:val="none"/>
        </w:rPr>
        <w:t>医疗救治任务，</w:t>
      </w:r>
      <w:r>
        <w:rPr>
          <w:rFonts w:hint="eastAsia" w:eastAsia="仿宋_GB2312"/>
          <w:color w:val="auto"/>
          <w:highlight w:val="none"/>
          <w:lang w:val="zh-CN"/>
        </w:rPr>
        <w:t>适应常态化疫情防控形势变化，科学精准施策，统筹防控发展出台硬核举措，</w:t>
      </w:r>
      <w:r>
        <w:rPr>
          <w:rFonts w:hint="eastAsia" w:eastAsia="仿宋_GB2312"/>
          <w:color w:val="auto"/>
          <w:highlight w:val="none"/>
        </w:rPr>
        <w:t>扎实做好</w:t>
      </w:r>
      <w:r>
        <w:rPr>
          <w:rFonts w:hint="eastAsia" w:eastAsia="仿宋_GB2312"/>
          <w:color w:val="auto"/>
          <w:highlight w:val="none"/>
          <w:lang w:eastAsia="zh-CN"/>
        </w:rPr>
        <w:t>“</w:t>
      </w:r>
      <w:r>
        <w:rPr>
          <w:rFonts w:hint="eastAsia" w:eastAsia="仿宋_GB2312"/>
          <w:color w:val="auto"/>
          <w:highlight w:val="none"/>
        </w:rPr>
        <w:t>六稳</w:t>
      </w:r>
      <w:r>
        <w:rPr>
          <w:rFonts w:hint="eastAsia" w:eastAsia="仿宋_GB2312"/>
          <w:color w:val="auto"/>
          <w:highlight w:val="none"/>
          <w:lang w:eastAsia="zh-CN"/>
        </w:rPr>
        <w:t>”</w:t>
      </w:r>
      <w:r>
        <w:rPr>
          <w:rFonts w:hint="eastAsia" w:eastAsia="仿宋_GB2312"/>
          <w:color w:val="auto"/>
          <w:highlight w:val="none"/>
        </w:rPr>
        <w:t>工作，全面落实</w:t>
      </w:r>
      <w:r>
        <w:rPr>
          <w:rFonts w:hint="eastAsia" w:eastAsia="仿宋_GB2312"/>
          <w:color w:val="auto"/>
          <w:highlight w:val="none"/>
          <w:lang w:eastAsia="zh-CN"/>
        </w:rPr>
        <w:t>“</w:t>
      </w:r>
      <w:r>
        <w:rPr>
          <w:rFonts w:hint="eastAsia" w:eastAsia="仿宋_GB2312"/>
          <w:color w:val="auto"/>
          <w:highlight w:val="none"/>
        </w:rPr>
        <w:t>六保</w:t>
      </w:r>
      <w:r>
        <w:rPr>
          <w:rFonts w:hint="eastAsia" w:eastAsia="仿宋_GB2312"/>
          <w:color w:val="auto"/>
          <w:highlight w:val="none"/>
          <w:lang w:eastAsia="zh-CN"/>
        </w:rPr>
        <w:t>”</w:t>
      </w:r>
      <w:r>
        <w:rPr>
          <w:rFonts w:hint="eastAsia" w:eastAsia="仿宋_GB2312"/>
          <w:color w:val="auto"/>
          <w:highlight w:val="none"/>
        </w:rPr>
        <w:t>任务，经济社会发展呈现加速恢复</w:t>
      </w:r>
      <w:r>
        <w:rPr>
          <w:rFonts w:hint="eastAsia" w:eastAsia="仿宋_GB2312"/>
          <w:color w:val="auto"/>
          <w:highlight w:val="none"/>
          <w:lang w:eastAsia="zh-CN"/>
        </w:rPr>
        <w:t>向好</w:t>
      </w:r>
      <w:r>
        <w:rPr>
          <w:rFonts w:hint="eastAsia" w:eastAsia="仿宋_GB2312"/>
          <w:color w:val="auto"/>
          <w:highlight w:val="none"/>
        </w:rPr>
        <w:t>态势，</w:t>
      </w:r>
      <w:r>
        <w:rPr>
          <w:rFonts w:hint="default" w:ascii="Times New Roman" w:hAnsi="Times New Roman" w:eastAsia="仿宋_GB2312" w:cs="Times New Roman"/>
          <w:color w:val="auto"/>
          <w:highlight w:val="none"/>
          <w:lang w:val="en-US" w:eastAsia="zh-CN"/>
        </w:rPr>
        <w:t>2020年地区生产总值增长4.2%，</w:t>
      </w:r>
      <w:r>
        <w:rPr>
          <w:rFonts w:hint="eastAsia" w:eastAsia="仿宋_GB2312" w:cs="Times New Roman"/>
          <w:color w:val="auto"/>
          <w:highlight w:val="none"/>
          <w:lang w:val="en-US" w:eastAsia="zh-CN"/>
        </w:rPr>
        <w:t>增速位居全省第3位</w:t>
      </w:r>
      <w:r>
        <w:rPr>
          <w:rFonts w:hint="default" w:ascii="Times New Roman" w:hAnsi="Times New Roman" w:eastAsia="仿宋_GB2312" w:cs="Times New Roman"/>
          <w:color w:val="auto"/>
          <w:highlight w:val="none"/>
          <w:lang w:val="en-US" w:eastAsia="zh-CN"/>
        </w:rPr>
        <w:t>；规上工业增加值增长8.5%，增速居全省首位；固定资产投资增长4.5%，一般公共预算收入增长10%，增速</w:t>
      </w:r>
      <w:r>
        <w:rPr>
          <w:rFonts w:hint="eastAsia" w:eastAsia="仿宋_GB2312" w:cs="Times New Roman"/>
          <w:color w:val="auto"/>
          <w:highlight w:val="none"/>
          <w:lang w:val="en-US" w:eastAsia="zh-CN"/>
        </w:rPr>
        <w:t>均</w:t>
      </w:r>
      <w:r>
        <w:rPr>
          <w:rFonts w:hint="default" w:ascii="Times New Roman" w:hAnsi="Times New Roman" w:eastAsia="仿宋_GB2312" w:cs="Times New Roman"/>
          <w:color w:val="auto"/>
          <w:highlight w:val="none"/>
          <w:lang w:val="en-US" w:eastAsia="zh-CN"/>
        </w:rPr>
        <w:t>排全省第3位，</w:t>
      </w:r>
      <w:r>
        <w:rPr>
          <w:rFonts w:hint="default" w:ascii="Times New Roman" w:hAnsi="Times New Roman" w:eastAsia="仿宋_GB2312" w:cs="Times New Roman"/>
          <w:color w:val="auto"/>
          <w:highlight w:val="none"/>
        </w:rPr>
        <w:t>实现了疫情防控和经济社会发展双胜利</w:t>
      </w:r>
      <w:r>
        <w:rPr>
          <w:rFonts w:hint="eastAsia" w:eastAsia="仿宋_GB2312"/>
          <w:color w:val="auto"/>
          <w:highlight w:val="none"/>
        </w:rPr>
        <w:t>。</w:t>
      </w:r>
    </w:p>
    <w:p w14:paraId="40E3CA69">
      <w:pPr>
        <w:adjustRightInd w:val="0"/>
        <w:snapToGrid w:val="0"/>
        <w:spacing w:line="560" w:lineRule="exact"/>
        <w:ind w:firstLine="640" w:firstLineChars="200"/>
        <w:textAlignment w:val="center"/>
        <w:rPr>
          <w:rFonts w:eastAsia="仿宋_GB2312"/>
          <w:color w:val="auto"/>
          <w:highlight w:val="none"/>
        </w:rPr>
      </w:pPr>
      <w:r>
        <w:rPr>
          <w:rFonts w:hint="eastAsia" w:eastAsia="仿宋_GB2312"/>
          <w:color w:val="auto"/>
          <w:highlight w:val="none"/>
        </w:rPr>
        <w:t>总的来看，这</w:t>
      </w:r>
      <w:r>
        <w:rPr>
          <w:rFonts w:hint="eastAsia" w:eastAsia="仿宋_GB2312"/>
          <w:color w:val="auto"/>
          <w:highlight w:val="none"/>
          <w:lang w:val="en-US" w:eastAsia="zh-CN"/>
        </w:rPr>
        <w:t>5</w:t>
      </w:r>
      <w:r>
        <w:rPr>
          <w:rFonts w:hint="eastAsia" w:eastAsia="仿宋_GB2312"/>
          <w:color w:val="auto"/>
          <w:highlight w:val="none"/>
        </w:rPr>
        <w:t>年，是</w:t>
      </w:r>
      <w:r>
        <w:rPr>
          <w:rFonts w:hint="eastAsia" w:eastAsia="仿宋_GB2312"/>
          <w:color w:val="auto"/>
          <w:highlight w:val="none"/>
          <w:lang w:eastAsia="zh-CN"/>
        </w:rPr>
        <w:t>如期</w:t>
      </w:r>
      <w:r>
        <w:rPr>
          <w:rFonts w:hint="eastAsia" w:eastAsia="仿宋_GB2312"/>
          <w:color w:val="auto"/>
          <w:highlight w:val="none"/>
        </w:rPr>
        <w:t>实现</w:t>
      </w:r>
      <w:r>
        <w:rPr>
          <w:rFonts w:hint="eastAsia" w:eastAsia="仿宋_GB2312"/>
          <w:color w:val="auto"/>
          <w:highlight w:val="none"/>
          <w:lang w:eastAsia="zh-CN"/>
        </w:rPr>
        <w:t>“</w:t>
      </w:r>
      <w:r>
        <w:rPr>
          <w:rFonts w:hint="eastAsia" w:eastAsia="仿宋_GB2312"/>
          <w:color w:val="auto"/>
          <w:highlight w:val="none"/>
        </w:rPr>
        <w:t>两个翻番</w:t>
      </w:r>
      <w:r>
        <w:rPr>
          <w:rFonts w:hint="eastAsia" w:eastAsia="仿宋_GB2312"/>
          <w:color w:val="auto"/>
          <w:highlight w:val="none"/>
          <w:lang w:eastAsia="zh-CN"/>
        </w:rPr>
        <w:t>”</w:t>
      </w:r>
      <w:r>
        <w:rPr>
          <w:rFonts w:hint="eastAsia" w:eastAsia="仿宋_GB2312"/>
          <w:color w:val="auto"/>
          <w:highlight w:val="none"/>
        </w:rPr>
        <w:t>，绝对贫困问题得到历史性解决，人民群众千百年来的小康梦成为现实的</w:t>
      </w:r>
      <w:r>
        <w:rPr>
          <w:rFonts w:hint="eastAsia" w:eastAsia="仿宋_GB2312"/>
          <w:color w:val="auto"/>
          <w:highlight w:val="none"/>
          <w:lang w:val="en-US" w:eastAsia="zh-CN"/>
        </w:rPr>
        <w:t>5</w:t>
      </w:r>
      <w:r>
        <w:rPr>
          <w:rFonts w:hint="eastAsia" w:eastAsia="仿宋_GB2312"/>
          <w:color w:val="auto"/>
          <w:highlight w:val="none"/>
        </w:rPr>
        <w:t>年；是秦皇岛历史上机遇最集中、发展势能最</w:t>
      </w:r>
      <w:r>
        <w:rPr>
          <w:rFonts w:hint="eastAsia" w:eastAsia="仿宋_GB2312"/>
          <w:color w:val="auto"/>
          <w:highlight w:val="none"/>
          <w:lang w:eastAsia="zh-CN"/>
        </w:rPr>
        <w:t>强劲</w:t>
      </w:r>
      <w:r>
        <w:rPr>
          <w:rFonts w:hint="eastAsia" w:eastAsia="仿宋_GB2312"/>
          <w:color w:val="auto"/>
          <w:highlight w:val="none"/>
        </w:rPr>
        <w:t>，改革开放不断迸发</w:t>
      </w:r>
      <w:r>
        <w:rPr>
          <w:rFonts w:hint="eastAsia" w:eastAsia="仿宋_GB2312"/>
          <w:color w:val="auto"/>
          <w:highlight w:val="none"/>
          <w:lang w:eastAsia="zh-CN"/>
        </w:rPr>
        <w:t>“</w:t>
      </w:r>
      <w:r>
        <w:rPr>
          <w:rFonts w:hint="eastAsia" w:eastAsia="仿宋_GB2312"/>
          <w:color w:val="auto"/>
          <w:highlight w:val="none"/>
        </w:rPr>
        <w:t>新</w:t>
      </w:r>
      <w:r>
        <w:rPr>
          <w:rFonts w:hint="eastAsia" w:eastAsia="仿宋_GB2312"/>
          <w:color w:val="auto"/>
          <w:highlight w:val="none"/>
          <w:lang w:eastAsia="zh-CN"/>
        </w:rPr>
        <w:t>”</w:t>
      </w:r>
      <w:r>
        <w:rPr>
          <w:rFonts w:hint="eastAsia" w:eastAsia="仿宋_GB2312"/>
          <w:color w:val="auto"/>
          <w:highlight w:val="none"/>
        </w:rPr>
        <w:t>活力的</w:t>
      </w:r>
      <w:r>
        <w:rPr>
          <w:rFonts w:hint="eastAsia" w:eastAsia="仿宋_GB2312"/>
          <w:color w:val="auto"/>
          <w:highlight w:val="none"/>
          <w:lang w:val="en-US" w:eastAsia="zh-CN"/>
        </w:rPr>
        <w:t>5</w:t>
      </w:r>
      <w:r>
        <w:rPr>
          <w:rFonts w:hint="eastAsia" w:eastAsia="仿宋_GB2312"/>
          <w:color w:val="auto"/>
          <w:highlight w:val="none"/>
        </w:rPr>
        <w:t>年；是坚决去、主动调、加快转取得关键进展，综合实力实现</w:t>
      </w:r>
      <w:r>
        <w:rPr>
          <w:rFonts w:hint="eastAsia" w:eastAsia="仿宋_GB2312"/>
          <w:color w:val="auto"/>
          <w:highlight w:val="none"/>
          <w:lang w:eastAsia="zh-CN"/>
        </w:rPr>
        <w:t>“</w:t>
      </w:r>
      <w:r>
        <w:rPr>
          <w:rFonts w:hint="eastAsia" w:eastAsia="仿宋_GB2312"/>
          <w:color w:val="auto"/>
          <w:highlight w:val="none"/>
        </w:rPr>
        <w:t>质</w:t>
      </w:r>
      <w:r>
        <w:rPr>
          <w:rFonts w:hint="eastAsia" w:eastAsia="仿宋_GB2312"/>
          <w:color w:val="auto"/>
          <w:highlight w:val="none"/>
          <w:lang w:eastAsia="zh-CN"/>
        </w:rPr>
        <w:t>”</w:t>
      </w:r>
      <w:r>
        <w:rPr>
          <w:rFonts w:hint="eastAsia" w:eastAsia="仿宋_GB2312"/>
          <w:color w:val="auto"/>
          <w:highlight w:val="none"/>
        </w:rPr>
        <w:t>的跃升，产业结构加速</w:t>
      </w:r>
      <w:r>
        <w:rPr>
          <w:rFonts w:hint="eastAsia" w:eastAsia="仿宋_GB2312"/>
          <w:color w:val="auto"/>
          <w:highlight w:val="none"/>
          <w:lang w:eastAsia="zh-CN"/>
        </w:rPr>
        <w:t>“</w:t>
      </w:r>
      <w:r>
        <w:rPr>
          <w:rFonts w:hint="eastAsia" w:eastAsia="仿宋_GB2312"/>
          <w:color w:val="auto"/>
          <w:highlight w:val="none"/>
        </w:rPr>
        <w:t>优</w:t>
      </w:r>
      <w:r>
        <w:rPr>
          <w:rFonts w:hint="eastAsia" w:eastAsia="仿宋_GB2312"/>
          <w:color w:val="auto"/>
          <w:highlight w:val="none"/>
          <w:lang w:eastAsia="zh-CN"/>
        </w:rPr>
        <w:t>”</w:t>
      </w:r>
      <w:r>
        <w:rPr>
          <w:rFonts w:hint="eastAsia" w:eastAsia="仿宋_GB2312"/>
          <w:color w:val="auto"/>
          <w:highlight w:val="none"/>
        </w:rPr>
        <w:t>的转型的</w:t>
      </w:r>
      <w:r>
        <w:rPr>
          <w:rFonts w:hint="eastAsia" w:eastAsia="仿宋_GB2312"/>
          <w:color w:val="auto"/>
          <w:highlight w:val="none"/>
          <w:lang w:val="en-US" w:eastAsia="zh-CN"/>
        </w:rPr>
        <w:t>5</w:t>
      </w:r>
      <w:r>
        <w:rPr>
          <w:rFonts w:hint="eastAsia" w:eastAsia="仿宋_GB2312"/>
          <w:color w:val="auto"/>
          <w:highlight w:val="none"/>
        </w:rPr>
        <w:t>年；是城乡面貌实现</w:t>
      </w:r>
      <w:r>
        <w:rPr>
          <w:rFonts w:hint="eastAsia" w:eastAsia="仿宋_GB2312"/>
          <w:color w:val="auto"/>
          <w:highlight w:val="none"/>
          <w:lang w:eastAsia="zh-CN"/>
        </w:rPr>
        <w:t>“</w:t>
      </w:r>
      <w:r>
        <w:rPr>
          <w:rFonts w:hint="eastAsia" w:eastAsia="仿宋_GB2312"/>
          <w:color w:val="auto"/>
          <w:highlight w:val="none"/>
        </w:rPr>
        <w:t>高</w:t>
      </w:r>
      <w:r>
        <w:rPr>
          <w:rFonts w:hint="eastAsia" w:eastAsia="仿宋_GB2312"/>
          <w:color w:val="auto"/>
          <w:highlight w:val="none"/>
          <w:lang w:eastAsia="zh-CN"/>
        </w:rPr>
        <w:t>”</w:t>
      </w:r>
      <w:r>
        <w:rPr>
          <w:rFonts w:hint="eastAsia" w:eastAsia="仿宋_GB2312"/>
          <w:color w:val="auto"/>
          <w:highlight w:val="none"/>
        </w:rPr>
        <w:t>的品质，生态环境彰显</w:t>
      </w:r>
      <w:r>
        <w:rPr>
          <w:rFonts w:hint="eastAsia" w:eastAsia="仿宋_GB2312"/>
          <w:color w:val="auto"/>
          <w:highlight w:val="none"/>
          <w:lang w:eastAsia="zh-CN"/>
        </w:rPr>
        <w:t>“</w:t>
      </w:r>
      <w:r>
        <w:rPr>
          <w:rFonts w:hint="eastAsia" w:eastAsia="仿宋_GB2312"/>
          <w:color w:val="auto"/>
          <w:highlight w:val="none"/>
        </w:rPr>
        <w:t>美</w:t>
      </w:r>
      <w:r>
        <w:rPr>
          <w:rFonts w:hint="eastAsia" w:eastAsia="仿宋_GB2312"/>
          <w:color w:val="auto"/>
          <w:highlight w:val="none"/>
          <w:lang w:eastAsia="zh-CN"/>
        </w:rPr>
        <w:t>”</w:t>
      </w:r>
      <w:r>
        <w:rPr>
          <w:rFonts w:hint="eastAsia" w:eastAsia="仿宋_GB2312"/>
          <w:color w:val="auto"/>
          <w:highlight w:val="none"/>
        </w:rPr>
        <w:t>的优势，人民生活持续</w:t>
      </w:r>
      <w:r>
        <w:rPr>
          <w:rFonts w:hint="eastAsia" w:eastAsia="仿宋_GB2312"/>
          <w:color w:val="auto"/>
          <w:highlight w:val="none"/>
          <w:lang w:eastAsia="zh-CN"/>
        </w:rPr>
        <w:t>“</w:t>
      </w:r>
      <w:r>
        <w:rPr>
          <w:rFonts w:hint="eastAsia" w:eastAsia="仿宋_GB2312"/>
          <w:color w:val="auto"/>
          <w:highlight w:val="none"/>
        </w:rPr>
        <w:t>好</w:t>
      </w:r>
      <w:r>
        <w:rPr>
          <w:rFonts w:hint="eastAsia" w:eastAsia="仿宋_GB2312"/>
          <w:color w:val="auto"/>
          <w:highlight w:val="none"/>
          <w:lang w:eastAsia="zh-CN"/>
        </w:rPr>
        <w:t>”</w:t>
      </w:r>
      <w:r>
        <w:rPr>
          <w:rFonts w:hint="eastAsia" w:eastAsia="仿宋_GB2312"/>
          <w:color w:val="auto"/>
          <w:highlight w:val="none"/>
        </w:rPr>
        <w:t>的改善的</w:t>
      </w:r>
      <w:r>
        <w:rPr>
          <w:rFonts w:hint="eastAsia" w:eastAsia="仿宋_GB2312"/>
          <w:color w:val="auto"/>
          <w:highlight w:val="none"/>
          <w:lang w:val="en-US" w:eastAsia="zh-CN"/>
        </w:rPr>
        <w:t>5</w:t>
      </w:r>
      <w:r>
        <w:rPr>
          <w:rFonts w:hint="eastAsia" w:eastAsia="仿宋_GB2312"/>
          <w:color w:val="auto"/>
          <w:highlight w:val="none"/>
        </w:rPr>
        <w:t>年；是全面从严治党向纵深发展，市域社会</w:t>
      </w:r>
      <w:r>
        <w:rPr>
          <w:rFonts w:hint="eastAsia" w:eastAsia="仿宋_GB2312"/>
          <w:color w:val="auto"/>
          <w:highlight w:val="none"/>
          <w:lang w:eastAsia="zh-CN"/>
        </w:rPr>
        <w:t>治理体系和治理能力现代化</w:t>
      </w:r>
      <w:r>
        <w:rPr>
          <w:rFonts w:hint="eastAsia" w:eastAsia="仿宋_GB2312"/>
          <w:color w:val="auto"/>
          <w:highlight w:val="none"/>
        </w:rPr>
        <w:t>加快建设，首都政治</w:t>
      </w:r>
      <w:r>
        <w:rPr>
          <w:rFonts w:hint="eastAsia" w:eastAsia="仿宋_GB2312"/>
          <w:color w:val="auto"/>
          <w:highlight w:val="none"/>
          <w:lang w:eastAsia="zh-CN"/>
        </w:rPr>
        <w:t>“</w:t>
      </w:r>
      <w:r>
        <w:rPr>
          <w:rFonts w:hint="eastAsia" w:eastAsia="仿宋_GB2312"/>
          <w:color w:val="auto"/>
          <w:highlight w:val="none"/>
        </w:rPr>
        <w:t>护城河</w:t>
      </w:r>
      <w:r>
        <w:rPr>
          <w:rFonts w:hint="eastAsia" w:eastAsia="仿宋_GB2312"/>
          <w:color w:val="auto"/>
          <w:highlight w:val="none"/>
          <w:lang w:eastAsia="zh-CN"/>
        </w:rPr>
        <w:t>”的</w:t>
      </w:r>
      <w:r>
        <w:rPr>
          <w:rFonts w:hint="eastAsia" w:eastAsia="仿宋_GB2312"/>
          <w:color w:val="auto"/>
          <w:highlight w:val="none"/>
        </w:rPr>
        <w:t>秦皇岛防线作用充分发挥，以秦皇岛之进服务全国全省改革发展大局的</w:t>
      </w:r>
      <w:r>
        <w:rPr>
          <w:rFonts w:hint="eastAsia" w:eastAsia="仿宋_GB2312"/>
          <w:color w:val="auto"/>
          <w:highlight w:val="none"/>
          <w:lang w:val="en-US" w:eastAsia="zh-CN"/>
        </w:rPr>
        <w:t>5</w:t>
      </w:r>
      <w:r>
        <w:rPr>
          <w:rFonts w:hint="eastAsia" w:eastAsia="仿宋_GB2312"/>
          <w:color w:val="auto"/>
          <w:highlight w:val="none"/>
        </w:rPr>
        <w:t>年。这些成绩的取得，是</w:t>
      </w:r>
      <w:r>
        <w:rPr>
          <w:rFonts w:hint="eastAsia" w:eastAsia="仿宋_GB2312"/>
          <w:color w:val="auto"/>
          <w:highlight w:val="none"/>
          <w:lang w:eastAsia="zh-CN"/>
        </w:rPr>
        <w:t>坚持以</w:t>
      </w:r>
      <w:r>
        <w:rPr>
          <w:rFonts w:hint="eastAsia" w:eastAsia="仿宋_GB2312"/>
          <w:color w:val="auto"/>
          <w:highlight w:val="none"/>
        </w:rPr>
        <w:t>习近平新时代中国特色社会主义思想</w:t>
      </w:r>
      <w:r>
        <w:rPr>
          <w:rFonts w:hint="eastAsia" w:eastAsia="仿宋_GB2312"/>
          <w:color w:val="auto"/>
          <w:highlight w:val="none"/>
          <w:lang w:eastAsia="zh-CN"/>
        </w:rPr>
        <w:t>为</w:t>
      </w:r>
      <w:r>
        <w:rPr>
          <w:rFonts w:hint="eastAsia" w:eastAsia="仿宋_GB2312"/>
          <w:color w:val="auto"/>
          <w:highlight w:val="none"/>
        </w:rPr>
        <w:t>指导的结果，是党中央、国务院和省委、省政府坚强正确领导的结果，是市委、市政府统筹部署、狠抓落实的结果，是全市广大党员干部群众</w:t>
      </w:r>
      <w:r>
        <w:rPr>
          <w:rFonts w:hint="eastAsia" w:eastAsia="仿宋_GB2312"/>
          <w:color w:val="auto"/>
          <w:highlight w:val="none"/>
          <w:lang w:eastAsia="zh-CN"/>
        </w:rPr>
        <w:t>勠力同心</w:t>
      </w:r>
      <w:r>
        <w:rPr>
          <w:rFonts w:hint="eastAsia" w:eastAsia="仿宋_GB2312"/>
          <w:color w:val="auto"/>
          <w:highlight w:val="none"/>
        </w:rPr>
        <w:t>、努力奋斗的结果。</w:t>
      </w:r>
    </w:p>
    <w:p w14:paraId="4AB6A2B7">
      <w:pPr>
        <w:adjustRightInd w:val="0"/>
        <w:snapToGrid w:val="0"/>
        <w:spacing w:line="560" w:lineRule="exact"/>
        <w:ind w:firstLine="640" w:firstLineChars="200"/>
        <w:textAlignment w:val="center"/>
        <w:outlineLvl w:val="1"/>
        <w:rPr>
          <w:rFonts w:eastAsia="黑体"/>
          <w:bCs/>
          <w:color w:val="auto"/>
          <w:highlight w:val="none"/>
        </w:rPr>
      </w:pPr>
      <w:bookmarkStart w:id="131" w:name="_Toc1972"/>
      <w:bookmarkStart w:id="132" w:name="_Toc5098"/>
      <w:bookmarkStart w:id="133" w:name="_Toc9964"/>
      <w:r>
        <w:rPr>
          <w:rFonts w:hint="eastAsia" w:eastAsia="黑体"/>
          <w:bCs/>
          <w:color w:val="auto"/>
          <w:highlight w:val="none"/>
        </w:rPr>
        <w:t>二、</w:t>
      </w:r>
      <w:r>
        <w:rPr>
          <w:rFonts w:hint="eastAsia" w:eastAsia="黑体"/>
          <w:bCs/>
          <w:color w:val="auto"/>
          <w:highlight w:val="none"/>
          <w:lang w:eastAsia="zh-CN"/>
        </w:rPr>
        <w:t>“</w:t>
      </w:r>
      <w:r>
        <w:rPr>
          <w:rFonts w:hint="eastAsia" w:eastAsia="黑体"/>
          <w:bCs/>
          <w:color w:val="auto"/>
          <w:highlight w:val="none"/>
        </w:rPr>
        <w:t>十四五</w:t>
      </w:r>
      <w:r>
        <w:rPr>
          <w:rFonts w:hint="eastAsia" w:eastAsia="黑体"/>
          <w:bCs/>
          <w:color w:val="auto"/>
          <w:highlight w:val="none"/>
          <w:lang w:eastAsia="zh-CN"/>
        </w:rPr>
        <w:t>”</w:t>
      </w:r>
      <w:r>
        <w:rPr>
          <w:rFonts w:hint="eastAsia" w:eastAsia="黑体"/>
          <w:bCs/>
          <w:color w:val="auto"/>
          <w:highlight w:val="none"/>
        </w:rPr>
        <w:t>时期面临形势发生深刻变化</w:t>
      </w:r>
      <w:bookmarkEnd w:id="131"/>
      <w:bookmarkEnd w:id="132"/>
      <w:bookmarkEnd w:id="133"/>
    </w:p>
    <w:p w14:paraId="6FA2C8D2">
      <w:pPr>
        <w:adjustRightInd w:val="0"/>
        <w:snapToGrid w:val="0"/>
        <w:spacing w:line="560" w:lineRule="exact"/>
        <w:ind w:firstLine="640" w:firstLineChars="200"/>
        <w:textAlignment w:val="center"/>
        <w:rPr>
          <w:rFonts w:eastAsia="仿宋_GB2312"/>
          <w:color w:val="auto"/>
          <w:highlight w:val="none"/>
        </w:rPr>
      </w:pPr>
      <w:bookmarkStart w:id="134" w:name="_Toc11336"/>
      <w:r>
        <w:rPr>
          <w:rFonts w:hint="eastAsia" w:eastAsia="仿宋_GB2312"/>
          <w:color w:val="auto"/>
          <w:highlight w:val="none"/>
          <w:lang w:eastAsia="zh-CN"/>
        </w:rPr>
        <w:t>“</w:t>
      </w:r>
      <w:r>
        <w:rPr>
          <w:rFonts w:hint="eastAsia" w:eastAsia="仿宋_GB2312"/>
          <w:color w:val="auto"/>
          <w:highlight w:val="none"/>
        </w:rPr>
        <w:t>十四五</w:t>
      </w:r>
      <w:r>
        <w:rPr>
          <w:rFonts w:hint="eastAsia" w:eastAsia="仿宋_GB2312"/>
          <w:color w:val="auto"/>
          <w:highlight w:val="none"/>
          <w:lang w:eastAsia="zh-CN"/>
        </w:rPr>
        <w:t>”</w:t>
      </w:r>
      <w:r>
        <w:rPr>
          <w:rFonts w:hint="eastAsia" w:eastAsia="仿宋_GB2312"/>
          <w:color w:val="auto"/>
          <w:highlight w:val="none"/>
        </w:rPr>
        <w:t>时期，我市发展的外部环境和内部条件发生重大而深刻的变化，必须深入分析面临的机遇和挑战，准确把握新的历史方位。</w:t>
      </w:r>
    </w:p>
    <w:p w14:paraId="0FA73F66">
      <w:pPr>
        <w:adjustRightInd w:val="0"/>
        <w:snapToGrid w:val="0"/>
        <w:spacing w:line="560" w:lineRule="exact"/>
        <w:ind w:firstLine="640" w:firstLineChars="200"/>
        <w:textAlignment w:val="center"/>
        <w:outlineLvl w:val="2"/>
        <w:rPr>
          <w:rFonts w:eastAsia="楷体"/>
          <w:b w:val="0"/>
          <w:bCs/>
          <w:color w:val="auto"/>
          <w:highlight w:val="none"/>
        </w:rPr>
      </w:pPr>
      <w:bookmarkStart w:id="135" w:name="_Toc26525"/>
      <w:bookmarkStart w:id="136" w:name="_Toc8225"/>
      <w:r>
        <w:rPr>
          <w:rFonts w:hint="eastAsia" w:eastAsia="楷体"/>
          <w:b w:val="0"/>
          <w:bCs/>
          <w:color w:val="auto"/>
          <w:highlight w:val="none"/>
        </w:rPr>
        <w:t>（一）国际国内环境</w:t>
      </w:r>
      <w:bookmarkEnd w:id="134"/>
      <w:bookmarkEnd w:id="135"/>
      <w:bookmarkEnd w:id="136"/>
    </w:p>
    <w:p w14:paraId="0942559B">
      <w:pPr>
        <w:adjustRightInd w:val="0"/>
        <w:snapToGrid w:val="0"/>
        <w:spacing w:line="560" w:lineRule="exact"/>
        <w:ind w:firstLine="643" w:firstLineChars="200"/>
        <w:textAlignment w:val="center"/>
        <w:rPr>
          <w:rFonts w:eastAsia="仿宋_GB2312"/>
          <w:color w:val="auto"/>
          <w:highlight w:val="none"/>
        </w:rPr>
      </w:pPr>
      <w:r>
        <w:rPr>
          <w:rFonts w:hint="eastAsia" w:eastAsia="仿宋_GB2312"/>
          <w:b/>
          <w:color w:val="auto"/>
          <w:highlight w:val="none"/>
        </w:rPr>
        <w:t>从国际看，</w:t>
      </w:r>
      <w:r>
        <w:rPr>
          <w:rFonts w:hint="eastAsia" w:eastAsia="仿宋_GB2312"/>
          <w:color w:val="auto"/>
          <w:highlight w:val="none"/>
        </w:rPr>
        <w:t>世界正经历百年未有之大变局，新冠肺炎疫情影响广泛深远，经济全球化遭遇逆流，世界进入动荡变革期。和平与发展仍然是时代主题，新一轮科技革命和产业变革深入发展，信息技术、生物技术、制造技术、新材料技术、新能源技术等领域的颠覆性技术不断涌现，人工智能、互联网、大数据等新兴技术推动传统产业得到革命性重塑，产业更新换代不断加快，为我市实现创新发展、</w:t>
      </w:r>
      <w:r>
        <w:rPr>
          <w:rFonts w:hint="eastAsia" w:eastAsia="仿宋_GB2312"/>
          <w:color w:val="auto"/>
          <w:highlight w:val="none"/>
          <w:lang w:eastAsia="zh-CN"/>
        </w:rPr>
        <w:t>“</w:t>
      </w:r>
      <w:r>
        <w:rPr>
          <w:rFonts w:hint="eastAsia" w:eastAsia="仿宋_GB2312"/>
          <w:color w:val="auto"/>
          <w:highlight w:val="none"/>
        </w:rPr>
        <w:t>弯道超车</w:t>
      </w:r>
      <w:r>
        <w:rPr>
          <w:rFonts w:hint="eastAsia" w:eastAsia="仿宋_GB2312"/>
          <w:color w:val="auto"/>
          <w:highlight w:val="none"/>
          <w:lang w:eastAsia="zh-CN"/>
        </w:rPr>
        <w:t>”</w:t>
      </w:r>
      <w:r>
        <w:rPr>
          <w:rFonts w:hint="eastAsia" w:eastAsia="仿宋_GB2312"/>
          <w:color w:val="auto"/>
          <w:highlight w:val="none"/>
        </w:rPr>
        <w:t>创造了有利条件。</w:t>
      </w:r>
    </w:p>
    <w:p w14:paraId="6B0CDA00">
      <w:pPr>
        <w:adjustRightInd w:val="0"/>
        <w:snapToGrid w:val="0"/>
        <w:spacing w:line="560" w:lineRule="exact"/>
        <w:ind w:firstLine="643" w:firstLineChars="200"/>
        <w:textAlignment w:val="center"/>
        <w:rPr>
          <w:rFonts w:eastAsia="仿宋_GB2312"/>
          <w:color w:val="auto"/>
          <w:highlight w:val="none"/>
        </w:rPr>
      </w:pPr>
      <w:r>
        <w:rPr>
          <w:rFonts w:hint="eastAsia" w:eastAsia="仿宋_GB2312"/>
          <w:b/>
          <w:color w:val="auto"/>
          <w:highlight w:val="none"/>
        </w:rPr>
        <w:t>从国内看，</w:t>
      </w:r>
      <w:r>
        <w:rPr>
          <w:rFonts w:hint="eastAsia" w:eastAsia="仿宋_GB2312"/>
          <w:color w:val="auto"/>
          <w:highlight w:val="none"/>
          <w:lang w:eastAsia="zh-CN"/>
        </w:rPr>
        <w:t>“</w:t>
      </w:r>
      <w:r>
        <w:rPr>
          <w:rFonts w:hint="eastAsia" w:eastAsia="仿宋_GB2312"/>
          <w:color w:val="auto"/>
          <w:highlight w:val="none"/>
        </w:rPr>
        <w:t>十四五</w:t>
      </w:r>
      <w:r>
        <w:rPr>
          <w:rFonts w:hint="eastAsia" w:eastAsia="仿宋_GB2312"/>
          <w:color w:val="auto"/>
          <w:highlight w:val="none"/>
          <w:lang w:eastAsia="zh-CN"/>
        </w:rPr>
        <w:t>”</w:t>
      </w:r>
      <w:r>
        <w:rPr>
          <w:rFonts w:hint="eastAsia" w:eastAsia="仿宋_GB2312"/>
          <w:color w:val="auto"/>
          <w:highlight w:val="none"/>
        </w:rPr>
        <w:t>时期，将开启全面建设社会主义现代化国家新征程，经济社会呈现一系列阶段性特征。我国已转向高质量发展阶段，制度优势显著，治理效能提升，经济长期向好，物质基础雄厚，人力资源丰厚，市场空间广阔，发展韧性强劲，社会大局稳定，发展具有多方面有利条件，为我市保持经济持续健康发展创造了良好环境。我国社会主要矛盾已经转化为人民日益增长的美好生活需要和不平衡不充分的发展之间的矛盾，人民对幸福美好生活的要求不断提高。必须主动适应国内形势和发展阶段变化，把握经济社会发展面临的新特征新要求，以新发展理念引领高质量发展可持续发展，努力担当起新时代的历史使命。</w:t>
      </w:r>
    </w:p>
    <w:p w14:paraId="5A502A8A">
      <w:pPr>
        <w:adjustRightInd w:val="0"/>
        <w:snapToGrid w:val="0"/>
        <w:spacing w:line="560" w:lineRule="exact"/>
        <w:ind w:firstLine="643" w:firstLineChars="200"/>
        <w:textAlignment w:val="center"/>
        <w:rPr>
          <w:rFonts w:eastAsia="仿宋_GB2312"/>
          <w:color w:val="auto"/>
          <w:highlight w:val="none"/>
        </w:rPr>
      </w:pPr>
      <w:r>
        <w:rPr>
          <w:rFonts w:hint="eastAsia" w:eastAsia="仿宋_GB2312"/>
          <w:b/>
          <w:color w:val="auto"/>
          <w:highlight w:val="none"/>
        </w:rPr>
        <w:t>从省内看，</w:t>
      </w:r>
      <w:r>
        <w:rPr>
          <w:rFonts w:hint="eastAsia" w:eastAsia="仿宋_GB2312"/>
          <w:color w:val="auto"/>
          <w:highlight w:val="none"/>
        </w:rPr>
        <w:t>京津冀协同发展在习近平总书记亲自谋划推动下加快推进，京津冀城市群逐渐成为中国参与世界城市群竞争的主战场和带动全国经济发展的重要增长极。河北</w:t>
      </w:r>
      <w:r>
        <w:rPr>
          <w:rFonts w:hint="eastAsia" w:eastAsia="仿宋_GB2312"/>
          <w:color w:val="auto"/>
          <w:highlight w:val="none"/>
          <w:lang w:eastAsia="zh-CN"/>
        </w:rPr>
        <w:t>“</w:t>
      </w:r>
      <w:r>
        <w:rPr>
          <w:rFonts w:hint="eastAsia" w:eastAsia="仿宋_GB2312"/>
          <w:color w:val="auto"/>
          <w:highlight w:val="none"/>
        </w:rPr>
        <w:t>三件大事</w:t>
      </w:r>
      <w:r>
        <w:rPr>
          <w:rFonts w:hint="eastAsia" w:eastAsia="仿宋_GB2312"/>
          <w:color w:val="auto"/>
          <w:highlight w:val="none"/>
          <w:lang w:eastAsia="zh-CN"/>
        </w:rPr>
        <w:t>”</w:t>
      </w:r>
      <w:r>
        <w:rPr>
          <w:rFonts w:hint="eastAsia" w:eastAsia="仿宋_GB2312"/>
          <w:color w:val="00B0F0"/>
          <w:highlight w:val="none"/>
          <w:lang w:eastAsia="zh-CN"/>
        </w:rPr>
        <w:t>向</w:t>
      </w:r>
      <w:r>
        <w:rPr>
          <w:rFonts w:hint="eastAsia" w:eastAsia="仿宋_GB2312"/>
          <w:color w:val="auto"/>
          <w:highlight w:val="none"/>
        </w:rPr>
        <w:t>全面纵深拓展，支撑带动作用日益凸显。北京大兴国际机场临空经济区、自贸区四大片区建设扎实推进，一大批重大工程项目、重大创新平台落地开花，进一步推动京津冀城市群分工和产业重构，带动各节点城市特色发展、协同发展、高质量发展。</w:t>
      </w:r>
    </w:p>
    <w:p w14:paraId="180471E7">
      <w:pPr>
        <w:adjustRightInd w:val="0"/>
        <w:snapToGrid w:val="0"/>
        <w:spacing w:line="560" w:lineRule="exact"/>
        <w:ind w:firstLine="643" w:firstLineChars="200"/>
        <w:textAlignment w:val="center"/>
        <w:rPr>
          <w:rFonts w:eastAsia="仿宋_GB2312"/>
          <w:color w:val="auto"/>
          <w:highlight w:val="none"/>
        </w:rPr>
      </w:pPr>
      <w:r>
        <w:rPr>
          <w:rFonts w:hint="eastAsia" w:eastAsia="仿宋_GB2312"/>
          <w:b/>
          <w:color w:val="auto"/>
          <w:highlight w:val="none"/>
        </w:rPr>
        <w:t>从我市看，</w:t>
      </w:r>
      <w:r>
        <w:rPr>
          <w:rFonts w:hint="eastAsia" w:eastAsia="仿宋_GB2312"/>
          <w:color w:val="auto"/>
          <w:highlight w:val="none"/>
        </w:rPr>
        <w:t>作为河北沿海率先发展区域、京津冀协同发展重要节点城市、全国性综合交通枢纽城市，拥有国家级经济技术开发区和国家生命健康产业创新示范区，是河北省发展滨海旅游、港口经济和海洋经济最适宜的城市，特别是北戴河地区优良的资源禀赋和肩负的特殊使命，增强了我市在京津冀协同发展中的独特优势，更加有利于京津地区人才、技术、资金等先进要素在我市加速集聚。我市</w:t>
      </w:r>
      <w:r>
        <w:rPr>
          <w:rFonts w:hint="eastAsia" w:eastAsia="仿宋_GB2312"/>
          <w:bCs/>
          <w:color w:val="auto"/>
          <w:highlight w:val="none"/>
        </w:rPr>
        <w:t>发展方向、路径更加清晰明确，</w:t>
      </w:r>
      <w:r>
        <w:rPr>
          <w:rFonts w:hint="eastAsia" w:eastAsia="仿宋_GB2312"/>
          <w:color w:val="auto"/>
          <w:highlight w:val="none"/>
        </w:rPr>
        <w:t>经济结构发生积极变化，去产能后的更高质量和效益发展，新旧动能转换后的新产业新业态加快培育，正在形成新的经济增长点，</w:t>
      </w:r>
      <w:r>
        <w:rPr>
          <w:rFonts w:hint="eastAsia" w:eastAsia="仿宋_GB2312"/>
          <w:bCs/>
          <w:color w:val="auto"/>
          <w:highlight w:val="none"/>
        </w:rPr>
        <w:t>产业基础支撑更加坚实稳固，发展环境保障更加坚定有力</w:t>
      </w:r>
      <w:r>
        <w:rPr>
          <w:rFonts w:hint="eastAsia" w:eastAsia="仿宋_GB2312"/>
          <w:color w:val="auto"/>
          <w:highlight w:val="none"/>
        </w:rPr>
        <w:t>，为加快</w:t>
      </w:r>
      <w:r>
        <w:rPr>
          <w:rFonts w:hint="eastAsia" w:eastAsia="仿宋_GB2312"/>
          <w:color w:val="auto"/>
          <w:highlight w:val="none"/>
          <w:lang w:eastAsia="zh-CN"/>
        </w:rPr>
        <w:t>全面</w:t>
      </w:r>
      <w:r>
        <w:rPr>
          <w:rFonts w:hint="eastAsia" w:eastAsia="仿宋_GB2312"/>
          <w:color w:val="auto"/>
          <w:highlight w:val="none"/>
        </w:rPr>
        <w:t>建设现代化国际化沿海强市、美丽港城注入新的动力、增添新的魅力。</w:t>
      </w:r>
    </w:p>
    <w:p w14:paraId="030854CF">
      <w:pPr>
        <w:adjustRightInd w:val="0"/>
        <w:snapToGrid w:val="0"/>
        <w:spacing w:line="560" w:lineRule="exact"/>
        <w:ind w:firstLine="640" w:firstLineChars="200"/>
        <w:textAlignment w:val="center"/>
        <w:outlineLvl w:val="2"/>
        <w:rPr>
          <w:rFonts w:eastAsia="楷体"/>
          <w:b w:val="0"/>
          <w:bCs/>
          <w:color w:val="auto"/>
          <w:highlight w:val="none"/>
        </w:rPr>
      </w:pPr>
      <w:bookmarkStart w:id="137" w:name="_Toc20738"/>
      <w:bookmarkStart w:id="138" w:name="_Toc20027"/>
      <w:r>
        <w:rPr>
          <w:rFonts w:hint="eastAsia" w:eastAsia="楷体"/>
          <w:b w:val="0"/>
          <w:bCs/>
          <w:color w:val="auto"/>
          <w:highlight w:val="none"/>
        </w:rPr>
        <w:t>（二）重大机遇</w:t>
      </w:r>
      <w:bookmarkEnd w:id="137"/>
      <w:bookmarkEnd w:id="138"/>
    </w:p>
    <w:p w14:paraId="628FA666">
      <w:pPr>
        <w:adjustRightInd w:val="0"/>
        <w:snapToGrid w:val="0"/>
        <w:spacing w:line="560" w:lineRule="exact"/>
        <w:ind w:firstLine="640" w:firstLineChars="200"/>
        <w:textAlignment w:val="center"/>
        <w:rPr>
          <w:rFonts w:eastAsia="仿宋_GB2312"/>
          <w:color w:val="auto"/>
          <w:highlight w:val="none"/>
        </w:rPr>
      </w:pPr>
      <w:r>
        <w:rPr>
          <w:rFonts w:hint="eastAsia" w:eastAsia="仿宋_GB2312"/>
          <w:color w:val="auto"/>
          <w:highlight w:val="none"/>
          <w:lang w:eastAsia="zh-CN"/>
        </w:rPr>
        <w:t>“</w:t>
      </w:r>
      <w:r>
        <w:rPr>
          <w:rFonts w:hint="eastAsia" w:eastAsia="仿宋_GB2312"/>
          <w:color w:val="auto"/>
          <w:highlight w:val="none"/>
        </w:rPr>
        <w:t>十四五</w:t>
      </w:r>
      <w:r>
        <w:rPr>
          <w:rFonts w:hint="eastAsia" w:eastAsia="仿宋_GB2312"/>
          <w:color w:val="auto"/>
          <w:highlight w:val="none"/>
          <w:lang w:eastAsia="zh-CN"/>
        </w:rPr>
        <w:t>”</w:t>
      </w:r>
      <w:r>
        <w:rPr>
          <w:rFonts w:hint="eastAsia" w:eastAsia="仿宋_GB2312"/>
          <w:color w:val="auto"/>
          <w:highlight w:val="none"/>
        </w:rPr>
        <w:t>时期，秦皇岛仍处于大有作为的重要战略机遇期。</w:t>
      </w:r>
      <w:r>
        <w:rPr>
          <w:rFonts w:hint="eastAsia" w:eastAsia="仿宋_GB2312"/>
          <w:b/>
          <w:color w:val="auto"/>
          <w:highlight w:val="none"/>
        </w:rPr>
        <w:t>一是</w:t>
      </w:r>
      <w:r>
        <w:rPr>
          <w:rFonts w:hint="eastAsia" w:eastAsia="仿宋_GB2312"/>
          <w:color w:val="auto"/>
          <w:highlight w:val="none"/>
        </w:rPr>
        <w:t>国家把扩大内需作为战略基点，着力构建以国内大循环为主体、国内国际双循环相互促进的新发展格局，加强</w:t>
      </w:r>
      <w:r>
        <w:rPr>
          <w:rFonts w:hint="eastAsia" w:eastAsia="仿宋_GB2312"/>
          <w:color w:val="auto"/>
          <w:highlight w:val="none"/>
          <w:lang w:eastAsia="zh-CN"/>
        </w:rPr>
        <w:t>“</w:t>
      </w:r>
      <w:r>
        <w:rPr>
          <w:rFonts w:hint="eastAsia" w:eastAsia="仿宋_GB2312"/>
          <w:color w:val="auto"/>
          <w:highlight w:val="none"/>
        </w:rPr>
        <w:t>两新一重</w:t>
      </w:r>
      <w:r>
        <w:rPr>
          <w:rFonts w:hint="eastAsia" w:eastAsia="仿宋_GB2312"/>
          <w:color w:val="auto"/>
          <w:highlight w:val="none"/>
          <w:lang w:eastAsia="zh-CN"/>
        </w:rPr>
        <w:t>”</w:t>
      </w:r>
      <w:r>
        <w:rPr>
          <w:rFonts w:hint="eastAsia" w:eastAsia="仿宋_GB2312"/>
          <w:color w:val="auto"/>
          <w:highlight w:val="none"/>
        </w:rPr>
        <w:t>基础设施建设，将加快推动我市京津冀协同发展节点城市建设，巩固强化全国性综合交通枢纽城市优势地位，立足强大国内市场需求，更好地服务京津冀和东北老工业基地两大市场，提高供给质量体系，为全面塑造竞争新优势提供强大支撑。</w:t>
      </w:r>
      <w:r>
        <w:rPr>
          <w:rFonts w:hint="eastAsia" w:eastAsia="仿宋_GB2312"/>
          <w:b/>
          <w:color w:val="auto"/>
          <w:highlight w:val="none"/>
        </w:rPr>
        <w:t>二是</w:t>
      </w:r>
      <w:r>
        <w:rPr>
          <w:rFonts w:hint="eastAsia" w:eastAsia="仿宋_GB2312"/>
          <w:color w:val="auto"/>
          <w:highlight w:val="none"/>
        </w:rPr>
        <w:t>生态文明建设进入新时代，党的十九大把建设美丽中国作为社会主义现代化强国目标之一，生态文明、美丽中国载入国家根本大法，为我市持续加强生态环境保护，放大生态效益红利，提供了根本遵循和法制保障。</w:t>
      </w:r>
      <w:r>
        <w:rPr>
          <w:rFonts w:hint="eastAsia" w:eastAsia="仿宋_GB2312"/>
          <w:b/>
          <w:color w:val="auto"/>
          <w:highlight w:val="none"/>
        </w:rPr>
        <w:t>三是</w:t>
      </w:r>
      <w:r>
        <w:rPr>
          <w:rFonts w:hint="eastAsia" w:eastAsia="仿宋_GB2312"/>
          <w:color w:val="auto"/>
          <w:highlight w:val="none"/>
        </w:rPr>
        <w:t>全面推进健康中国建设，实施积极应对人口老龄化国家战略，将有利于我市充分发挥北戴河生命健康产业创新示范区和国家康复辅助器具产业综合创新试点等优势，做大做强生命健康产业集群，打造国内重要的医疗器械和康复辅具制造基地。</w:t>
      </w:r>
      <w:r>
        <w:rPr>
          <w:rFonts w:hint="eastAsia" w:eastAsia="仿宋_GB2312"/>
          <w:b/>
          <w:color w:val="auto"/>
          <w:highlight w:val="none"/>
        </w:rPr>
        <w:t>四是</w:t>
      </w:r>
      <w:r>
        <w:rPr>
          <w:rFonts w:hint="eastAsia" w:eastAsia="仿宋_GB2312"/>
          <w:color w:val="auto"/>
          <w:highlight w:val="none"/>
        </w:rPr>
        <w:t>国家把实施网络强国、建设</w:t>
      </w:r>
      <w:r>
        <w:rPr>
          <w:rFonts w:hint="eastAsia" w:eastAsia="仿宋_GB2312"/>
          <w:color w:val="auto"/>
          <w:highlight w:val="none"/>
          <w:lang w:eastAsia="zh-CN"/>
        </w:rPr>
        <w:t>“</w:t>
      </w:r>
      <w:r>
        <w:rPr>
          <w:rFonts w:hint="eastAsia" w:eastAsia="仿宋_GB2312"/>
          <w:color w:val="auto"/>
          <w:highlight w:val="none"/>
        </w:rPr>
        <w:t>数字中国</w:t>
      </w:r>
      <w:r>
        <w:rPr>
          <w:rFonts w:hint="eastAsia" w:eastAsia="仿宋_GB2312"/>
          <w:color w:val="auto"/>
          <w:highlight w:val="none"/>
          <w:lang w:eastAsia="zh-CN"/>
        </w:rPr>
        <w:t>”</w:t>
      </w:r>
      <w:r>
        <w:rPr>
          <w:rFonts w:hint="eastAsia" w:eastAsia="仿宋_GB2312"/>
          <w:color w:val="auto"/>
          <w:highlight w:val="none"/>
        </w:rPr>
        <w:t>作为举国发展的重大战略，将加快推动我市信息智能产业和数字经济发展进程，打造中国软件名城和北方设计之城。</w:t>
      </w:r>
      <w:r>
        <w:rPr>
          <w:rFonts w:hint="eastAsia" w:eastAsia="仿宋_GB2312"/>
          <w:b/>
          <w:color w:val="auto"/>
          <w:highlight w:val="none"/>
        </w:rPr>
        <w:t>五是</w:t>
      </w:r>
      <w:r>
        <w:rPr>
          <w:rFonts w:hint="eastAsia" w:eastAsia="仿宋_GB2312"/>
          <w:color w:val="auto"/>
          <w:highlight w:val="none"/>
        </w:rPr>
        <w:t>疫情催生出一批新经济、新业态、新模式，加速产业链供应链和价值链重构，为我市推动制造业强市，加快发展战略性新兴产业、积极布局未来高潜产业、推动产业向中高端迈进带来新的历史机遇。</w:t>
      </w:r>
      <w:r>
        <w:rPr>
          <w:rFonts w:hint="eastAsia" w:eastAsia="仿宋_GB2312"/>
          <w:b/>
          <w:color w:val="auto"/>
          <w:highlight w:val="none"/>
        </w:rPr>
        <w:t>六是</w:t>
      </w:r>
      <w:r>
        <w:rPr>
          <w:rFonts w:hint="eastAsia" w:eastAsia="仿宋_GB2312"/>
          <w:color w:val="auto"/>
          <w:highlight w:val="none"/>
        </w:rPr>
        <w:t>京津冀协同发展深入推进、雄安新区大规模集中建设、</w:t>
      </w:r>
      <w:r>
        <w:rPr>
          <w:rFonts w:eastAsia="仿宋_GB2312"/>
          <w:color w:val="auto"/>
          <w:highlight w:val="none"/>
        </w:rPr>
        <w:t>2022</w:t>
      </w:r>
      <w:r>
        <w:rPr>
          <w:rFonts w:hint="eastAsia" w:eastAsia="仿宋_GB2312"/>
          <w:color w:val="auto"/>
          <w:highlight w:val="none"/>
        </w:rPr>
        <w:t>年北京冬奥会筹办、京唐城际铁路加快建设，我市即将融入首都</w:t>
      </w:r>
      <w:r>
        <w:rPr>
          <w:rFonts w:eastAsia="仿宋_GB2312"/>
          <w:color w:val="auto"/>
          <w:highlight w:val="none"/>
        </w:rPr>
        <w:t>1</w:t>
      </w:r>
      <w:r>
        <w:rPr>
          <w:rFonts w:hint="eastAsia" w:eastAsia="仿宋_GB2312"/>
          <w:color w:val="auto"/>
          <w:highlight w:val="none"/>
        </w:rPr>
        <w:t>小时交通圈，为我市全面融入以首都为核心的世界级城市群发展新格局，创造了更加有利的条件。</w:t>
      </w:r>
      <w:r>
        <w:rPr>
          <w:rFonts w:hint="eastAsia" w:eastAsia="仿宋_GB2312"/>
          <w:b/>
          <w:color w:val="auto"/>
          <w:highlight w:val="none"/>
        </w:rPr>
        <w:t>七是</w:t>
      </w:r>
      <w:r>
        <w:rPr>
          <w:rFonts w:hint="eastAsia" w:eastAsia="仿宋_GB2312"/>
          <w:color w:val="auto"/>
          <w:highlight w:val="none"/>
        </w:rPr>
        <w:t>省委、省政府加快建设沿海经济带，支持秦皇岛港打造一流国际旅游港和现代综合贸易港，将催动更多的政策、项目、资金、人才等创新要素向秦皇岛汇集，为我市加快发展创造了</w:t>
      </w:r>
      <w:r>
        <w:rPr>
          <w:rFonts w:hint="eastAsia" w:eastAsia="仿宋_GB2312"/>
          <w:color w:val="auto"/>
          <w:highlight w:val="none"/>
          <w:lang w:eastAsia="zh-CN"/>
        </w:rPr>
        <w:t>“</w:t>
      </w:r>
      <w:r>
        <w:rPr>
          <w:rFonts w:hint="eastAsia" w:eastAsia="仿宋_GB2312"/>
          <w:color w:val="auto"/>
          <w:highlight w:val="none"/>
        </w:rPr>
        <w:t>机会窗口</w:t>
      </w:r>
      <w:r>
        <w:rPr>
          <w:rFonts w:hint="eastAsia" w:eastAsia="仿宋_GB2312"/>
          <w:color w:val="auto"/>
          <w:highlight w:val="none"/>
          <w:lang w:eastAsia="zh-CN"/>
        </w:rPr>
        <w:t>”</w:t>
      </w:r>
      <w:r>
        <w:rPr>
          <w:rFonts w:hint="eastAsia" w:eastAsia="仿宋_GB2312"/>
          <w:color w:val="auto"/>
          <w:highlight w:val="none"/>
        </w:rPr>
        <w:t>。</w:t>
      </w:r>
      <w:r>
        <w:rPr>
          <w:rFonts w:eastAsia="仿宋_GB2312"/>
          <w:color w:val="auto"/>
          <w:highlight w:val="none"/>
        </w:rPr>
        <w:t xml:space="preserve"> </w:t>
      </w:r>
    </w:p>
    <w:p w14:paraId="2F209824">
      <w:pPr>
        <w:adjustRightInd w:val="0"/>
        <w:snapToGrid w:val="0"/>
        <w:spacing w:line="560" w:lineRule="exact"/>
        <w:ind w:firstLine="640" w:firstLineChars="200"/>
        <w:textAlignment w:val="center"/>
        <w:outlineLvl w:val="2"/>
        <w:rPr>
          <w:rFonts w:eastAsia="楷体"/>
          <w:b w:val="0"/>
          <w:bCs/>
          <w:color w:val="auto"/>
          <w:highlight w:val="none"/>
        </w:rPr>
      </w:pPr>
      <w:bookmarkStart w:id="139" w:name="_Toc10436"/>
      <w:bookmarkStart w:id="140" w:name="_Toc20174"/>
      <w:r>
        <w:rPr>
          <w:rFonts w:hint="eastAsia" w:eastAsia="楷体"/>
          <w:b w:val="0"/>
          <w:bCs/>
          <w:color w:val="auto"/>
          <w:highlight w:val="none"/>
        </w:rPr>
        <w:t>（三）面临挑战</w:t>
      </w:r>
      <w:bookmarkEnd w:id="139"/>
      <w:bookmarkEnd w:id="140"/>
    </w:p>
    <w:p w14:paraId="631C8A85">
      <w:pPr>
        <w:adjustRightInd w:val="0"/>
        <w:snapToGrid w:val="0"/>
        <w:spacing w:line="560" w:lineRule="exact"/>
        <w:ind w:firstLine="640" w:firstLineChars="200"/>
        <w:textAlignment w:val="center"/>
        <w:rPr>
          <w:rFonts w:eastAsia="仿宋_GB2312"/>
          <w:color w:val="auto"/>
          <w:highlight w:val="none"/>
        </w:rPr>
      </w:pPr>
      <w:r>
        <w:rPr>
          <w:rFonts w:hint="eastAsia" w:eastAsia="仿宋_GB2312"/>
          <w:color w:val="auto"/>
          <w:highlight w:val="none"/>
        </w:rPr>
        <w:t>未来</w:t>
      </w:r>
      <w:r>
        <w:rPr>
          <w:rFonts w:hint="eastAsia" w:eastAsia="仿宋_GB2312"/>
          <w:color w:val="auto"/>
          <w:highlight w:val="none"/>
          <w:lang w:val="en-US" w:eastAsia="zh-CN"/>
        </w:rPr>
        <w:t>5</w:t>
      </w:r>
      <w:r>
        <w:rPr>
          <w:rFonts w:hint="eastAsia" w:eastAsia="仿宋_GB2312"/>
          <w:color w:val="auto"/>
          <w:highlight w:val="none"/>
        </w:rPr>
        <w:t>年我市正处在</w:t>
      </w:r>
      <w:r>
        <w:rPr>
          <w:rFonts w:hint="eastAsia" w:eastAsia="仿宋_GB2312"/>
          <w:color w:val="auto"/>
          <w:highlight w:val="none"/>
          <w:lang w:eastAsia="zh-CN"/>
        </w:rPr>
        <w:t>“</w:t>
      </w:r>
      <w:r>
        <w:rPr>
          <w:rFonts w:hint="eastAsia" w:eastAsia="仿宋_GB2312"/>
          <w:color w:val="auto"/>
          <w:highlight w:val="none"/>
        </w:rPr>
        <w:t>五期</w:t>
      </w:r>
      <w:r>
        <w:rPr>
          <w:rFonts w:hint="eastAsia" w:eastAsia="仿宋_GB2312"/>
          <w:color w:val="auto"/>
          <w:highlight w:val="none"/>
          <w:lang w:eastAsia="zh-CN"/>
        </w:rPr>
        <w:t>”</w:t>
      </w:r>
      <w:r>
        <w:rPr>
          <w:rFonts w:hint="eastAsia" w:eastAsia="仿宋_GB2312"/>
          <w:color w:val="auto"/>
          <w:highlight w:val="none"/>
        </w:rPr>
        <w:t>叠加的关键阶段，面临诸多问题和挑战。</w:t>
      </w:r>
    </w:p>
    <w:p w14:paraId="6A1EC8B9">
      <w:pPr>
        <w:adjustRightInd w:val="0"/>
        <w:snapToGrid w:val="0"/>
        <w:spacing w:line="560" w:lineRule="exact"/>
        <w:ind w:firstLine="643" w:firstLineChars="200"/>
        <w:textAlignment w:val="center"/>
        <w:rPr>
          <w:rFonts w:eastAsia="仿宋_GB2312"/>
          <w:color w:val="auto"/>
          <w:highlight w:val="none"/>
        </w:rPr>
      </w:pPr>
      <w:r>
        <w:rPr>
          <w:rFonts w:hint="eastAsia" w:eastAsia="仿宋"/>
          <w:b/>
          <w:color w:val="auto"/>
          <w:highlight w:val="none"/>
        </w:rPr>
        <w:t>一是正处于外部环境深度调整的变革期。</w:t>
      </w:r>
      <w:r>
        <w:rPr>
          <w:rFonts w:hint="eastAsia" w:eastAsia="仿宋_GB2312"/>
          <w:color w:val="auto"/>
          <w:highlight w:val="none"/>
        </w:rPr>
        <w:t>国际形势日趋复杂，主要经济力量对比深刻调整变化，世界政治经济格局存在较大变数，不确定性不稳定性因素明显增加，我市发展可能面临更多的外部冲击和影响。</w:t>
      </w:r>
    </w:p>
    <w:p w14:paraId="56CA7717">
      <w:pPr>
        <w:adjustRightInd w:val="0"/>
        <w:snapToGrid w:val="0"/>
        <w:spacing w:line="560" w:lineRule="exact"/>
        <w:ind w:firstLine="643" w:firstLineChars="200"/>
        <w:textAlignment w:val="center"/>
        <w:rPr>
          <w:rFonts w:eastAsia="仿宋_GB2312"/>
          <w:color w:val="auto"/>
          <w:highlight w:val="none"/>
        </w:rPr>
      </w:pPr>
      <w:r>
        <w:rPr>
          <w:rFonts w:hint="eastAsia" w:eastAsia="仿宋"/>
          <w:b/>
          <w:color w:val="auto"/>
          <w:highlight w:val="none"/>
        </w:rPr>
        <w:t>二是正处于发展转型升级的迭代期。</w:t>
      </w:r>
      <w:r>
        <w:rPr>
          <w:rFonts w:hint="eastAsia" w:eastAsia="仿宋_GB2312"/>
          <w:color w:val="auto"/>
          <w:highlight w:val="none"/>
        </w:rPr>
        <w:t>我市经济发展质量不高，工业经济偏弱，产业整体仍处于价值链中低端，高端产业支撑不足，创新能力不强，行业顶尖人才和学科领军人物匮乏，新旧动能转换任务仍然艰巨，承受着摆脱传统路径依赖与抢占未来发展制高点的双重压力，必须在创新引领、转型升级上挑重担、走前列，加快实现从</w:t>
      </w:r>
      <w:r>
        <w:rPr>
          <w:rFonts w:hint="eastAsia" w:eastAsia="仿宋_GB2312"/>
          <w:color w:val="auto"/>
          <w:highlight w:val="none"/>
          <w:lang w:eastAsia="zh-CN"/>
        </w:rPr>
        <w:t>“</w:t>
      </w:r>
      <w:r>
        <w:rPr>
          <w:rFonts w:hint="eastAsia" w:eastAsia="仿宋_GB2312"/>
          <w:color w:val="auto"/>
          <w:highlight w:val="none"/>
        </w:rPr>
        <w:t>追赶者</w:t>
      </w:r>
      <w:r>
        <w:rPr>
          <w:rFonts w:hint="eastAsia" w:eastAsia="仿宋_GB2312"/>
          <w:color w:val="auto"/>
          <w:highlight w:val="none"/>
          <w:lang w:eastAsia="zh-CN"/>
        </w:rPr>
        <w:t>”“</w:t>
      </w:r>
      <w:r>
        <w:rPr>
          <w:rFonts w:hint="eastAsia" w:eastAsia="仿宋_GB2312"/>
          <w:color w:val="auto"/>
          <w:highlight w:val="none"/>
        </w:rPr>
        <w:t>跟随者</w:t>
      </w:r>
      <w:r>
        <w:rPr>
          <w:rFonts w:hint="eastAsia" w:eastAsia="仿宋_GB2312"/>
          <w:color w:val="auto"/>
          <w:highlight w:val="none"/>
          <w:lang w:eastAsia="zh-CN"/>
        </w:rPr>
        <w:t>”</w:t>
      </w:r>
      <w:r>
        <w:rPr>
          <w:rFonts w:hint="eastAsia" w:eastAsia="仿宋_GB2312"/>
          <w:color w:val="auto"/>
          <w:highlight w:val="none"/>
        </w:rPr>
        <w:t>的角色向</w:t>
      </w:r>
      <w:r>
        <w:rPr>
          <w:rFonts w:hint="eastAsia" w:eastAsia="仿宋_GB2312"/>
          <w:color w:val="auto"/>
          <w:highlight w:val="none"/>
          <w:lang w:eastAsia="zh-CN"/>
        </w:rPr>
        <w:t>“</w:t>
      </w:r>
      <w:r>
        <w:rPr>
          <w:rFonts w:hint="eastAsia" w:eastAsia="仿宋_GB2312"/>
          <w:color w:val="auto"/>
          <w:highlight w:val="none"/>
        </w:rPr>
        <w:t>领跑者</w:t>
      </w:r>
      <w:r>
        <w:rPr>
          <w:rFonts w:hint="eastAsia" w:eastAsia="仿宋_GB2312"/>
          <w:color w:val="auto"/>
          <w:highlight w:val="none"/>
          <w:lang w:eastAsia="zh-CN"/>
        </w:rPr>
        <w:t>”</w:t>
      </w:r>
      <w:r>
        <w:rPr>
          <w:rFonts w:hint="eastAsia" w:eastAsia="仿宋_GB2312"/>
          <w:color w:val="auto"/>
          <w:highlight w:val="none"/>
        </w:rPr>
        <w:t>的角色转变。</w:t>
      </w:r>
    </w:p>
    <w:p w14:paraId="4A25E34F">
      <w:pPr>
        <w:adjustRightInd w:val="0"/>
        <w:snapToGrid w:val="0"/>
        <w:spacing w:line="560" w:lineRule="exact"/>
        <w:ind w:firstLine="643" w:firstLineChars="200"/>
        <w:textAlignment w:val="center"/>
        <w:rPr>
          <w:rFonts w:eastAsia="仿宋_GB2312"/>
          <w:color w:val="auto"/>
          <w:highlight w:val="none"/>
        </w:rPr>
      </w:pPr>
      <w:r>
        <w:rPr>
          <w:rFonts w:hint="eastAsia" w:eastAsia="仿宋"/>
          <w:b/>
          <w:color w:val="auto"/>
          <w:highlight w:val="none"/>
        </w:rPr>
        <w:t>三是正处于全面提升城市能级的突破期。</w:t>
      </w:r>
      <w:r>
        <w:rPr>
          <w:rFonts w:hint="eastAsia" w:eastAsia="仿宋_GB2312"/>
          <w:color w:val="auto"/>
          <w:highlight w:val="none"/>
        </w:rPr>
        <w:t>我市经济总量规模不足、县域经济薄弱的局面尚未根本改变，推动经济高质量发展，必须科学把握好</w:t>
      </w:r>
      <w:r>
        <w:rPr>
          <w:rFonts w:hint="eastAsia" w:eastAsia="仿宋_GB2312"/>
          <w:color w:val="auto"/>
          <w:highlight w:val="none"/>
          <w:lang w:eastAsia="zh-CN"/>
        </w:rPr>
        <w:t>“</w:t>
      </w:r>
      <w:r>
        <w:rPr>
          <w:rFonts w:hint="eastAsia" w:eastAsia="仿宋_GB2312"/>
          <w:color w:val="auto"/>
          <w:highlight w:val="none"/>
        </w:rPr>
        <w:t>量</w:t>
      </w:r>
      <w:r>
        <w:rPr>
          <w:rFonts w:hint="eastAsia" w:eastAsia="仿宋_GB2312"/>
          <w:color w:val="auto"/>
          <w:highlight w:val="none"/>
          <w:lang w:eastAsia="zh-CN"/>
        </w:rPr>
        <w:t>”</w:t>
      </w:r>
      <w:r>
        <w:rPr>
          <w:rFonts w:hint="eastAsia" w:eastAsia="仿宋_GB2312"/>
          <w:color w:val="auto"/>
          <w:highlight w:val="none"/>
        </w:rPr>
        <w:t>与</w:t>
      </w:r>
      <w:r>
        <w:rPr>
          <w:rFonts w:hint="eastAsia" w:eastAsia="仿宋_GB2312"/>
          <w:color w:val="auto"/>
          <w:highlight w:val="none"/>
          <w:lang w:eastAsia="zh-CN"/>
        </w:rPr>
        <w:t>“</w:t>
      </w:r>
      <w:r>
        <w:rPr>
          <w:rFonts w:hint="eastAsia" w:eastAsia="仿宋_GB2312"/>
          <w:color w:val="auto"/>
          <w:highlight w:val="none"/>
        </w:rPr>
        <w:t>质</w:t>
      </w:r>
      <w:r>
        <w:rPr>
          <w:rFonts w:hint="eastAsia" w:eastAsia="仿宋_GB2312"/>
          <w:color w:val="auto"/>
          <w:highlight w:val="none"/>
          <w:lang w:eastAsia="zh-CN"/>
        </w:rPr>
        <w:t>”</w:t>
      </w:r>
      <w:r>
        <w:rPr>
          <w:rFonts w:hint="eastAsia" w:eastAsia="仿宋_GB2312"/>
          <w:color w:val="auto"/>
          <w:highlight w:val="none"/>
        </w:rPr>
        <w:t>的辩证法，既要实现</w:t>
      </w:r>
      <w:r>
        <w:rPr>
          <w:rFonts w:hint="eastAsia" w:eastAsia="仿宋_GB2312"/>
          <w:color w:val="auto"/>
          <w:highlight w:val="none"/>
          <w:lang w:eastAsia="zh-CN"/>
        </w:rPr>
        <w:t>“</w:t>
      </w:r>
      <w:r>
        <w:rPr>
          <w:rFonts w:hint="eastAsia" w:eastAsia="仿宋_GB2312"/>
          <w:color w:val="auto"/>
          <w:highlight w:val="none"/>
        </w:rPr>
        <w:t>质</w:t>
      </w:r>
      <w:r>
        <w:rPr>
          <w:rFonts w:hint="eastAsia" w:eastAsia="仿宋_GB2312"/>
          <w:color w:val="auto"/>
          <w:highlight w:val="none"/>
          <w:lang w:eastAsia="zh-CN"/>
        </w:rPr>
        <w:t>”</w:t>
      </w:r>
      <w:r>
        <w:rPr>
          <w:rFonts w:hint="eastAsia" w:eastAsia="仿宋_GB2312"/>
          <w:color w:val="auto"/>
          <w:highlight w:val="none"/>
        </w:rPr>
        <w:t>的稳步提升，促进更高质量、更有效率、更加公平、更可持续的发展，也要实现</w:t>
      </w:r>
      <w:r>
        <w:rPr>
          <w:rFonts w:hint="eastAsia" w:eastAsia="仿宋_GB2312"/>
          <w:color w:val="auto"/>
          <w:highlight w:val="none"/>
          <w:lang w:eastAsia="zh-CN"/>
        </w:rPr>
        <w:t>“</w:t>
      </w:r>
      <w:r>
        <w:rPr>
          <w:rFonts w:hint="eastAsia" w:eastAsia="仿宋_GB2312"/>
          <w:color w:val="auto"/>
          <w:highlight w:val="none"/>
        </w:rPr>
        <w:t>量</w:t>
      </w:r>
      <w:r>
        <w:rPr>
          <w:rFonts w:hint="eastAsia" w:eastAsia="仿宋_GB2312"/>
          <w:color w:val="auto"/>
          <w:highlight w:val="none"/>
          <w:lang w:eastAsia="zh-CN"/>
        </w:rPr>
        <w:t>”</w:t>
      </w:r>
      <w:r>
        <w:rPr>
          <w:rFonts w:hint="eastAsia" w:eastAsia="仿宋_GB2312"/>
          <w:color w:val="auto"/>
          <w:highlight w:val="none"/>
        </w:rPr>
        <w:t>的合理增长，保持合理增长速度，特别是要注重实现更有效率、更高水平的量的增长，把经济蛋糕做大，守住经济稳定运行的底线和社会稳定的大局，统筹完成好规模总量扩张与内在品质蝶变的双重任务。</w:t>
      </w:r>
    </w:p>
    <w:p w14:paraId="57942B76">
      <w:pPr>
        <w:adjustRightInd w:val="0"/>
        <w:snapToGrid w:val="0"/>
        <w:spacing w:line="560" w:lineRule="exact"/>
        <w:ind w:firstLine="643" w:firstLineChars="200"/>
        <w:textAlignment w:val="center"/>
        <w:rPr>
          <w:rFonts w:eastAsia="仿宋_GB2312"/>
          <w:color w:val="auto"/>
          <w:highlight w:val="none"/>
        </w:rPr>
      </w:pPr>
      <w:r>
        <w:rPr>
          <w:rFonts w:hint="eastAsia" w:eastAsia="仿宋"/>
          <w:b/>
          <w:color w:val="auto"/>
          <w:highlight w:val="none"/>
        </w:rPr>
        <w:t>四是正处于改革开放走深走实的攻坚期。</w:t>
      </w:r>
      <w:r>
        <w:rPr>
          <w:rFonts w:hint="eastAsia" w:eastAsia="仿宋_GB2312"/>
          <w:color w:val="auto"/>
          <w:highlight w:val="none"/>
        </w:rPr>
        <w:t>作为沿海开放城市，我市改革开放力度还不够大，各类示范试点作用有待于进一步发挥，市场化国际化水平还不够高，营商环境尚需优化，服务意识、行政效率等与市场主体期望相比还有一定差距，在沿海开放城市梯队中仍处于后位，面临着激发内力借助外力相统筹、国内国际双循环相促进的双重要求，在区域竞争中面临不进则退、慢进亦退的巨大挑战，必须推动思想再解放、观念再更新</w:t>
      </w:r>
      <w:r>
        <w:rPr>
          <w:rFonts w:hint="eastAsia" w:eastAsia="仿宋_GB2312"/>
          <w:color w:val="00B0F0"/>
          <w:highlight w:val="none"/>
          <w:lang w:eastAsia="zh-CN"/>
        </w:rPr>
        <w:t>、</w:t>
      </w:r>
      <w:r>
        <w:rPr>
          <w:rFonts w:hint="eastAsia" w:eastAsia="仿宋_GB2312"/>
          <w:color w:val="auto"/>
          <w:highlight w:val="none"/>
        </w:rPr>
        <w:t>改革再攻坚、开放再提升、环境再优化，着力建设改革攻坚的示范区、对外开放的</w:t>
      </w:r>
      <w:r>
        <w:rPr>
          <w:rFonts w:hint="eastAsia" w:eastAsia="仿宋_GB2312"/>
          <w:color w:val="auto"/>
          <w:highlight w:val="none"/>
          <w:lang w:eastAsia="zh-CN"/>
        </w:rPr>
        <w:t>“</w:t>
      </w:r>
      <w:r>
        <w:rPr>
          <w:rFonts w:hint="eastAsia" w:eastAsia="仿宋_GB2312"/>
          <w:color w:val="auto"/>
          <w:highlight w:val="none"/>
        </w:rPr>
        <w:t>桥头堡</w:t>
      </w:r>
      <w:r>
        <w:rPr>
          <w:rFonts w:hint="eastAsia" w:eastAsia="仿宋_GB2312"/>
          <w:color w:val="auto"/>
          <w:highlight w:val="none"/>
          <w:lang w:eastAsia="zh-CN"/>
        </w:rPr>
        <w:t>”</w:t>
      </w:r>
      <w:r>
        <w:rPr>
          <w:rFonts w:hint="eastAsia" w:eastAsia="仿宋_GB2312"/>
          <w:color w:val="auto"/>
          <w:highlight w:val="none"/>
        </w:rPr>
        <w:t>。</w:t>
      </w:r>
    </w:p>
    <w:p w14:paraId="5ABA2E41">
      <w:pPr>
        <w:pStyle w:val="9"/>
        <w:spacing w:after="0" w:line="560" w:lineRule="exact"/>
        <w:ind w:left="0" w:leftChars="0" w:firstLine="643"/>
        <w:rPr>
          <w:rFonts w:eastAsia="仿宋_GB2312"/>
          <w:color w:val="auto"/>
          <w:kern w:val="2"/>
          <w:highlight w:val="none"/>
        </w:rPr>
      </w:pPr>
      <w:r>
        <w:rPr>
          <w:rFonts w:hint="eastAsia" w:eastAsia="仿宋"/>
          <w:b/>
          <w:color w:val="auto"/>
          <w:highlight w:val="none"/>
        </w:rPr>
        <w:t>五是正处于社会治理完善和提升期。</w:t>
      </w:r>
      <w:r>
        <w:rPr>
          <w:rFonts w:hint="eastAsia" w:eastAsia="仿宋_GB2312"/>
          <w:color w:val="auto"/>
          <w:kern w:val="2"/>
          <w:highlight w:val="none"/>
        </w:rPr>
        <w:t>目前我市资源环境管控约束压力加大，污染防治和生态修复任务艰巨，民生改善还有不少问题和短板，随着社会转型进入</w:t>
      </w:r>
      <w:r>
        <w:rPr>
          <w:rFonts w:hint="eastAsia" w:eastAsia="仿宋_GB2312"/>
          <w:color w:val="auto"/>
          <w:kern w:val="2"/>
          <w:highlight w:val="none"/>
          <w:lang w:eastAsia="zh-CN"/>
        </w:rPr>
        <w:t>“</w:t>
      </w:r>
      <w:r>
        <w:rPr>
          <w:rFonts w:hint="eastAsia" w:eastAsia="仿宋_GB2312"/>
          <w:color w:val="auto"/>
          <w:kern w:val="2"/>
          <w:highlight w:val="none"/>
        </w:rPr>
        <w:t>深水期</w:t>
      </w:r>
      <w:r>
        <w:rPr>
          <w:rFonts w:hint="eastAsia" w:eastAsia="仿宋_GB2312"/>
          <w:color w:val="auto"/>
          <w:kern w:val="2"/>
          <w:highlight w:val="none"/>
          <w:lang w:eastAsia="zh-CN"/>
        </w:rPr>
        <w:t>”</w:t>
      </w:r>
      <w:r>
        <w:rPr>
          <w:rFonts w:hint="eastAsia" w:eastAsia="仿宋_GB2312"/>
          <w:color w:val="auto"/>
          <w:kern w:val="2"/>
          <w:highlight w:val="none"/>
        </w:rPr>
        <w:t>，各种新旧矛盾交织叠加，信访稳定和维护国家安全特别是政治安全工作的艰巨性、复杂性、紧迫性更加突出，新时代社会治理面临新问题新挑战，实现人民对幸福美好生活的向往，必须在生态文明建设、民生保障改善、市域治理体系和治理能力现代化建设上下真工夫、下大工夫、下实工夫，进一步增强人民群众的获得感、幸福感、安全感。</w:t>
      </w:r>
    </w:p>
    <w:p w14:paraId="3B424678">
      <w:pPr>
        <w:adjustRightInd w:val="0"/>
        <w:snapToGrid w:val="0"/>
        <w:spacing w:line="560" w:lineRule="exact"/>
        <w:ind w:firstLine="640" w:firstLineChars="200"/>
        <w:textAlignment w:val="center"/>
        <w:rPr>
          <w:rFonts w:eastAsia="仿宋_GB2312"/>
          <w:color w:val="auto"/>
          <w:highlight w:val="none"/>
        </w:rPr>
      </w:pPr>
      <w:r>
        <w:rPr>
          <w:rFonts w:hint="eastAsia" w:eastAsia="仿宋_GB2312"/>
          <w:color w:val="auto"/>
          <w:highlight w:val="none"/>
        </w:rPr>
        <w:t>综合分析，</w:t>
      </w:r>
      <w:r>
        <w:rPr>
          <w:rFonts w:hint="eastAsia" w:eastAsia="仿宋_GB2312"/>
          <w:color w:val="auto"/>
          <w:highlight w:val="none"/>
          <w:lang w:eastAsia="zh-CN"/>
        </w:rPr>
        <w:t>“</w:t>
      </w:r>
      <w:r>
        <w:rPr>
          <w:rFonts w:hint="eastAsia" w:eastAsia="仿宋_GB2312"/>
          <w:color w:val="auto"/>
          <w:highlight w:val="none"/>
        </w:rPr>
        <w:t>十四五</w:t>
      </w:r>
      <w:r>
        <w:rPr>
          <w:rFonts w:hint="eastAsia" w:eastAsia="仿宋_GB2312"/>
          <w:color w:val="auto"/>
          <w:highlight w:val="none"/>
          <w:lang w:eastAsia="zh-CN"/>
        </w:rPr>
        <w:t>”</w:t>
      </w:r>
      <w:r>
        <w:rPr>
          <w:rFonts w:hint="eastAsia" w:eastAsia="仿宋_GB2312"/>
          <w:color w:val="auto"/>
          <w:highlight w:val="none"/>
        </w:rPr>
        <w:t>时期，我市将步入由</w:t>
      </w:r>
      <w:r>
        <w:rPr>
          <w:rFonts w:hint="eastAsia" w:eastAsia="仿宋_GB2312"/>
          <w:color w:val="auto"/>
          <w:highlight w:val="none"/>
          <w:lang w:eastAsia="zh-CN"/>
        </w:rPr>
        <w:t>“</w:t>
      </w:r>
      <w:r>
        <w:rPr>
          <w:rFonts w:hint="eastAsia" w:eastAsia="仿宋_GB2312"/>
          <w:color w:val="auto"/>
          <w:highlight w:val="none"/>
        </w:rPr>
        <w:t>夯基础、促提升</w:t>
      </w:r>
      <w:r>
        <w:rPr>
          <w:rFonts w:hint="eastAsia" w:eastAsia="仿宋_GB2312"/>
          <w:color w:val="auto"/>
          <w:highlight w:val="none"/>
          <w:lang w:eastAsia="zh-CN"/>
        </w:rPr>
        <w:t>”</w:t>
      </w:r>
      <w:r>
        <w:rPr>
          <w:rFonts w:hint="eastAsia" w:eastAsia="仿宋_GB2312"/>
          <w:color w:val="auto"/>
          <w:highlight w:val="none"/>
        </w:rPr>
        <w:t>向</w:t>
      </w:r>
      <w:r>
        <w:rPr>
          <w:rFonts w:hint="eastAsia" w:eastAsia="仿宋_GB2312"/>
          <w:color w:val="auto"/>
          <w:highlight w:val="none"/>
          <w:lang w:eastAsia="zh-CN"/>
        </w:rPr>
        <w:t>“</w:t>
      </w:r>
      <w:r>
        <w:rPr>
          <w:rFonts w:hint="eastAsia" w:eastAsia="仿宋_GB2312"/>
          <w:color w:val="auto"/>
          <w:highlight w:val="none"/>
        </w:rPr>
        <w:t>迸发活力、彰显魅力</w:t>
      </w:r>
      <w:r>
        <w:rPr>
          <w:rFonts w:hint="eastAsia" w:eastAsia="仿宋_GB2312"/>
          <w:color w:val="auto"/>
          <w:highlight w:val="none"/>
          <w:lang w:eastAsia="zh-CN"/>
        </w:rPr>
        <w:t>”</w:t>
      </w:r>
      <w:r>
        <w:rPr>
          <w:rFonts w:hint="eastAsia" w:eastAsia="仿宋_GB2312"/>
          <w:color w:val="auto"/>
          <w:highlight w:val="none"/>
        </w:rPr>
        <w:t>迈进的新阶段，由</w:t>
      </w:r>
      <w:r>
        <w:rPr>
          <w:rFonts w:hint="eastAsia" w:eastAsia="仿宋_GB2312"/>
          <w:color w:val="auto"/>
          <w:highlight w:val="none"/>
          <w:lang w:eastAsia="zh-CN"/>
        </w:rPr>
        <w:t>“</w:t>
      </w:r>
      <w:r>
        <w:rPr>
          <w:rFonts w:hint="eastAsia" w:eastAsia="仿宋_GB2312"/>
          <w:color w:val="auto"/>
          <w:highlight w:val="none"/>
        </w:rPr>
        <w:t>机遇多重叠加</w:t>
      </w:r>
      <w:r>
        <w:rPr>
          <w:rFonts w:hint="eastAsia" w:eastAsia="仿宋_GB2312"/>
          <w:color w:val="auto"/>
          <w:highlight w:val="none"/>
          <w:lang w:eastAsia="zh-CN"/>
        </w:rPr>
        <w:t>”</w:t>
      </w:r>
      <w:r>
        <w:rPr>
          <w:rFonts w:hint="eastAsia" w:eastAsia="仿宋_GB2312"/>
          <w:color w:val="auto"/>
          <w:highlight w:val="none"/>
        </w:rPr>
        <w:t>向</w:t>
      </w:r>
      <w:r>
        <w:rPr>
          <w:rFonts w:hint="eastAsia" w:eastAsia="仿宋_GB2312"/>
          <w:color w:val="auto"/>
          <w:highlight w:val="none"/>
          <w:lang w:eastAsia="zh-CN"/>
        </w:rPr>
        <w:t>“</w:t>
      </w:r>
      <w:r>
        <w:rPr>
          <w:rFonts w:hint="eastAsia" w:eastAsia="仿宋_GB2312"/>
          <w:color w:val="auto"/>
          <w:highlight w:val="none"/>
        </w:rPr>
        <w:t>红利集中释放</w:t>
      </w:r>
      <w:r>
        <w:rPr>
          <w:rFonts w:hint="eastAsia" w:eastAsia="仿宋_GB2312"/>
          <w:color w:val="auto"/>
          <w:highlight w:val="none"/>
          <w:lang w:eastAsia="zh-CN"/>
        </w:rPr>
        <w:t>”</w:t>
      </w:r>
      <w:r>
        <w:rPr>
          <w:rFonts w:hint="eastAsia" w:eastAsia="仿宋_GB2312"/>
          <w:color w:val="auto"/>
          <w:highlight w:val="none"/>
        </w:rPr>
        <w:t>嬗变的新阶段，由</w:t>
      </w:r>
      <w:r>
        <w:rPr>
          <w:rFonts w:hint="eastAsia" w:eastAsia="仿宋_GB2312"/>
          <w:color w:val="auto"/>
          <w:highlight w:val="none"/>
          <w:lang w:eastAsia="zh-CN"/>
        </w:rPr>
        <w:t>“</w:t>
      </w:r>
      <w:r>
        <w:rPr>
          <w:rFonts w:hint="eastAsia" w:eastAsia="仿宋_GB2312"/>
          <w:color w:val="auto"/>
          <w:highlight w:val="none"/>
        </w:rPr>
        <w:t>传统治理</w:t>
      </w:r>
      <w:r>
        <w:rPr>
          <w:rFonts w:hint="eastAsia" w:eastAsia="仿宋_GB2312"/>
          <w:color w:val="auto"/>
          <w:highlight w:val="none"/>
          <w:lang w:eastAsia="zh-CN"/>
        </w:rPr>
        <w:t>”</w:t>
      </w:r>
      <w:r>
        <w:rPr>
          <w:rFonts w:hint="eastAsia" w:eastAsia="仿宋_GB2312"/>
          <w:color w:val="auto"/>
          <w:highlight w:val="none"/>
        </w:rPr>
        <w:t>步入</w:t>
      </w:r>
      <w:r>
        <w:rPr>
          <w:rFonts w:hint="eastAsia" w:eastAsia="仿宋_GB2312"/>
          <w:color w:val="auto"/>
          <w:highlight w:val="none"/>
          <w:lang w:eastAsia="zh-CN"/>
        </w:rPr>
        <w:t>“</w:t>
      </w:r>
      <w:r>
        <w:rPr>
          <w:rFonts w:hint="eastAsia" w:eastAsia="仿宋_GB2312"/>
          <w:color w:val="auto"/>
          <w:highlight w:val="none"/>
        </w:rPr>
        <w:t>现代治理</w:t>
      </w:r>
      <w:r>
        <w:rPr>
          <w:rFonts w:hint="eastAsia" w:eastAsia="仿宋_GB2312"/>
          <w:color w:val="auto"/>
          <w:highlight w:val="none"/>
          <w:lang w:eastAsia="zh-CN"/>
        </w:rPr>
        <w:t>”</w:t>
      </w:r>
      <w:r>
        <w:rPr>
          <w:rFonts w:hint="eastAsia" w:eastAsia="仿宋_GB2312"/>
          <w:color w:val="auto"/>
          <w:highlight w:val="none"/>
        </w:rPr>
        <w:t>的新阶段，经济社会将步入创新发展、绿色发展、高质量发展、可持续发展良性</w:t>
      </w:r>
      <w:r>
        <w:rPr>
          <w:rFonts w:hint="eastAsia" w:eastAsia="仿宋_GB2312"/>
          <w:color w:val="auto"/>
          <w:highlight w:val="none"/>
          <w:lang w:eastAsia="zh-CN"/>
        </w:rPr>
        <w:t>互动的</w:t>
      </w:r>
      <w:r>
        <w:rPr>
          <w:rFonts w:hint="eastAsia" w:eastAsia="仿宋_GB2312"/>
          <w:color w:val="auto"/>
          <w:highlight w:val="none"/>
        </w:rPr>
        <w:t>发展轨道。</w:t>
      </w:r>
    </w:p>
    <w:p w14:paraId="421A84E7">
      <w:pPr>
        <w:adjustRightInd w:val="0"/>
        <w:snapToGrid w:val="0"/>
        <w:spacing w:line="560" w:lineRule="exact"/>
        <w:ind w:firstLine="640" w:firstLineChars="200"/>
        <w:textAlignment w:val="center"/>
        <w:rPr>
          <w:rFonts w:eastAsia="仿宋_GB2312"/>
          <w:color w:val="auto"/>
          <w:highlight w:val="none"/>
        </w:rPr>
      </w:pPr>
      <w:r>
        <w:rPr>
          <w:rFonts w:hint="eastAsia" w:eastAsia="仿宋_GB2312"/>
          <w:color w:val="auto"/>
          <w:highlight w:val="none"/>
        </w:rPr>
        <w:t>危和机并生，机遇与挑战同在。全市上下要胸怀</w:t>
      </w:r>
      <w:r>
        <w:rPr>
          <w:rFonts w:hint="eastAsia" w:eastAsia="仿宋_GB2312"/>
          <w:color w:val="auto"/>
          <w:highlight w:val="none"/>
          <w:lang w:eastAsia="zh-CN"/>
        </w:rPr>
        <w:t>“</w:t>
      </w:r>
      <w:r>
        <w:rPr>
          <w:rFonts w:hint="eastAsia" w:eastAsia="仿宋_GB2312"/>
          <w:color w:val="auto"/>
          <w:highlight w:val="none"/>
        </w:rPr>
        <w:t>两个大局</w:t>
      </w:r>
      <w:r>
        <w:rPr>
          <w:rFonts w:hint="eastAsia" w:eastAsia="仿宋_GB2312"/>
          <w:color w:val="auto"/>
          <w:highlight w:val="none"/>
          <w:lang w:eastAsia="zh-CN"/>
        </w:rPr>
        <w:t>”</w:t>
      </w:r>
      <w:r>
        <w:rPr>
          <w:rFonts w:hint="eastAsia" w:eastAsia="仿宋_GB2312"/>
          <w:color w:val="auto"/>
          <w:highlight w:val="none"/>
        </w:rPr>
        <w:t>，深刻认识国际国内环境带来的新矛盾新挑战，深刻认识历史性窗口期和战略机遇期的新趋势新任务，牢牢把握进入新发展阶段、贯彻新发展理念、构建新发展格局、开启全面建设社会主义现代化国家新征程的丰富内涵和实践要求，在大格局、大目标、大战略中找准定位谋划发展，增强机遇意识和风险意识，准确识变、科学应变、主动求变，在危机中育新机、于变局中开新局，不断开辟发展新境界。</w:t>
      </w:r>
    </w:p>
    <w:p w14:paraId="0D6328B6">
      <w:pPr>
        <w:spacing w:line="560" w:lineRule="exact"/>
        <w:ind w:firstLine="640" w:firstLineChars="200"/>
        <w:outlineLvl w:val="1"/>
        <w:rPr>
          <w:rFonts w:eastAsia="黑体"/>
          <w:color w:val="auto"/>
          <w:highlight w:val="none"/>
        </w:rPr>
      </w:pPr>
      <w:bookmarkStart w:id="141" w:name="_Toc12882"/>
      <w:r>
        <w:rPr>
          <w:rFonts w:hint="eastAsia" w:eastAsia="黑体"/>
          <w:color w:val="auto"/>
          <w:highlight w:val="none"/>
        </w:rPr>
        <w:t>三、远景展望</w:t>
      </w:r>
      <w:bookmarkEnd w:id="141"/>
    </w:p>
    <w:p w14:paraId="3B350505">
      <w:pPr>
        <w:adjustRightInd w:val="0"/>
        <w:snapToGrid w:val="0"/>
        <w:spacing w:line="560" w:lineRule="exact"/>
        <w:ind w:firstLine="640" w:firstLineChars="200"/>
        <w:textAlignment w:val="center"/>
        <w:rPr>
          <w:rFonts w:hint="eastAsia" w:eastAsia="仿宋_GB2312"/>
          <w:color w:val="auto"/>
          <w:highlight w:val="none"/>
        </w:rPr>
      </w:pPr>
      <w:r>
        <w:rPr>
          <w:rFonts w:hint="eastAsia" w:eastAsia="仿宋_GB2312"/>
          <w:color w:val="auto"/>
          <w:highlight w:val="none"/>
        </w:rPr>
        <w:t>根据党的十九届五中全会</w:t>
      </w:r>
      <w:r>
        <w:rPr>
          <w:rFonts w:hint="eastAsia" w:eastAsia="仿宋_GB2312"/>
          <w:color w:val="auto"/>
          <w:highlight w:val="none"/>
          <w:lang w:eastAsia="zh-CN"/>
        </w:rPr>
        <w:t>、</w:t>
      </w:r>
      <w:r>
        <w:rPr>
          <w:rFonts w:hint="eastAsia" w:eastAsia="仿宋_GB2312"/>
          <w:color w:val="auto"/>
          <w:highlight w:val="none"/>
        </w:rPr>
        <w:t>省委九届十一次全会</w:t>
      </w:r>
      <w:r>
        <w:rPr>
          <w:rFonts w:hint="eastAsia" w:eastAsia="仿宋_GB2312"/>
          <w:color w:val="auto"/>
          <w:highlight w:val="none"/>
          <w:lang w:eastAsia="zh-CN"/>
        </w:rPr>
        <w:t>、市委十二届五次全会</w:t>
      </w:r>
      <w:r>
        <w:rPr>
          <w:rFonts w:hint="eastAsia" w:eastAsia="仿宋_GB2312"/>
          <w:color w:val="auto"/>
          <w:highlight w:val="none"/>
        </w:rPr>
        <w:t>精神，当前和今后一个时期，要加快推动高质量发展可持续发展，努力把秦皇岛打造成环境优美、产业繁荣、文明健康、安全舒适的一流国际旅游城市，全面建设现代化国际化沿海强市、美丽港城。现代化就是秦皇岛与全国、全省同步实现现代化；国际化就是城市发展全面与国际接轨，</w:t>
      </w:r>
      <w:bookmarkStart w:id="826" w:name="_GoBack"/>
      <w:bookmarkEnd w:id="826"/>
      <w:r>
        <w:rPr>
          <w:rFonts w:hint="eastAsia" w:eastAsia="仿宋_GB2312"/>
          <w:color w:val="auto"/>
          <w:highlight w:val="none"/>
        </w:rPr>
        <w:t>推动更宽领域更高水平国际合作交流，形成高度市场化、法治化、国际化的制度体系；沿海强市就是强在经济实力、强在机制活力、强在创新动力、强在核心竞争力；美丽港城就是美在生态环境、美在城乡面貌、美在社会文明、美在幸福生活。</w:t>
      </w:r>
    </w:p>
    <w:p w14:paraId="778EE48A">
      <w:pPr>
        <w:spacing w:line="560" w:lineRule="exact"/>
        <w:ind w:firstLine="640" w:firstLineChars="200"/>
        <w:rPr>
          <w:rFonts w:eastAsia="仿宋_GB2312"/>
          <w:color w:val="auto"/>
          <w:highlight w:val="none"/>
        </w:rPr>
      </w:pPr>
      <w:r>
        <w:rPr>
          <w:rFonts w:hint="eastAsia" w:eastAsia="仿宋_GB2312"/>
          <w:color w:val="auto"/>
          <w:highlight w:val="none"/>
        </w:rPr>
        <w:t>展望</w:t>
      </w:r>
      <w:r>
        <w:rPr>
          <w:rFonts w:eastAsia="仿宋_GB2312"/>
          <w:color w:val="auto"/>
          <w:highlight w:val="none"/>
        </w:rPr>
        <w:t>2035</w:t>
      </w:r>
      <w:r>
        <w:rPr>
          <w:rFonts w:hint="eastAsia" w:eastAsia="仿宋_GB2312"/>
          <w:color w:val="auto"/>
          <w:highlight w:val="none"/>
        </w:rPr>
        <w:t>年，我市要达到基本实现社会主义现代化远景目标的要求，基本建成现代化国际化沿海强市、美丽港城。</w:t>
      </w:r>
    </w:p>
    <w:p w14:paraId="323DFE48">
      <w:pPr>
        <w:spacing w:line="560" w:lineRule="exact"/>
        <w:ind w:firstLine="645"/>
        <w:rPr>
          <w:color w:val="auto"/>
          <w:highlight w:val="none"/>
        </w:rPr>
      </w:pPr>
      <w:r>
        <w:rPr>
          <w:rFonts w:eastAsia="楷体"/>
          <w:color w:val="auto"/>
          <w:highlight w:val="none"/>
        </w:rPr>
        <w:t>——</w:t>
      </w:r>
      <w:r>
        <w:rPr>
          <w:rFonts w:hint="eastAsia" w:eastAsia="楷体"/>
          <w:color w:val="auto"/>
          <w:highlight w:val="none"/>
        </w:rPr>
        <w:t>全面融入新发展格局。</w:t>
      </w:r>
      <w:r>
        <w:rPr>
          <w:rFonts w:hint="eastAsia" w:eastAsia="仿宋_GB2312"/>
          <w:color w:val="auto"/>
          <w:highlight w:val="none"/>
        </w:rPr>
        <w:t>深度融入国内大循环和国内国际双循环，全面融入以首都为核心的世界级城市群建设，一流国际旅游港和现代综合贸易港建设取得重要突破。</w:t>
      </w:r>
    </w:p>
    <w:p w14:paraId="5DD5FFCF">
      <w:pPr>
        <w:spacing w:line="560" w:lineRule="exact"/>
        <w:ind w:firstLine="645"/>
        <w:rPr>
          <w:rFonts w:eastAsia="仿宋_GB2312"/>
          <w:color w:val="auto"/>
          <w:highlight w:val="none"/>
        </w:rPr>
      </w:pPr>
      <w:r>
        <w:rPr>
          <w:rFonts w:eastAsia="楷体"/>
          <w:color w:val="auto"/>
          <w:highlight w:val="none"/>
        </w:rPr>
        <w:t>——</w:t>
      </w:r>
      <w:r>
        <w:rPr>
          <w:rFonts w:hint="eastAsia" w:eastAsia="楷体"/>
          <w:color w:val="auto"/>
          <w:highlight w:val="none"/>
        </w:rPr>
        <w:t>经济实力、科技实力大幅增强。</w:t>
      </w:r>
      <w:r>
        <w:rPr>
          <w:rFonts w:hint="eastAsia" w:eastAsia="仿宋_GB2312"/>
          <w:color w:val="auto"/>
          <w:highlight w:val="none"/>
        </w:rPr>
        <w:t>经济总量和城乡居民人均收入跃上新台阶，跻身创新型城市行列。</w:t>
      </w:r>
    </w:p>
    <w:p w14:paraId="4450DCEB">
      <w:pPr>
        <w:spacing w:line="560" w:lineRule="exact"/>
        <w:ind w:firstLine="645"/>
        <w:rPr>
          <w:rFonts w:eastAsia="仿宋_GB2312"/>
          <w:color w:val="auto"/>
          <w:highlight w:val="none"/>
        </w:rPr>
      </w:pPr>
      <w:r>
        <w:rPr>
          <w:rFonts w:eastAsia="楷体"/>
          <w:color w:val="auto"/>
          <w:highlight w:val="none"/>
        </w:rPr>
        <w:t>——</w:t>
      </w:r>
      <w:r>
        <w:rPr>
          <w:rFonts w:hint="eastAsia" w:eastAsia="楷体"/>
          <w:color w:val="auto"/>
          <w:highlight w:val="none"/>
        </w:rPr>
        <w:t>现代化建设全面推进。</w:t>
      </w:r>
      <w:r>
        <w:rPr>
          <w:rFonts w:hint="eastAsia" w:eastAsia="仿宋_GB2312"/>
          <w:color w:val="auto"/>
          <w:highlight w:val="none"/>
        </w:rPr>
        <w:t>基本实现新型工业化、信息化、城镇化、农业现代化，建成现代化经济体系。</w:t>
      </w:r>
    </w:p>
    <w:p w14:paraId="702BDC59">
      <w:pPr>
        <w:spacing w:line="560" w:lineRule="exact"/>
        <w:ind w:firstLine="645"/>
        <w:rPr>
          <w:rFonts w:eastAsia="仿宋_GB2312"/>
          <w:color w:val="auto"/>
          <w:highlight w:val="none"/>
        </w:rPr>
      </w:pPr>
      <w:r>
        <w:rPr>
          <w:rFonts w:eastAsia="楷体"/>
          <w:color w:val="auto"/>
          <w:highlight w:val="none"/>
        </w:rPr>
        <w:t>——</w:t>
      </w:r>
      <w:r>
        <w:rPr>
          <w:rFonts w:hint="eastAsia" w:eastAsia="楷体"/>
          <w:color w:val="auto"/>
          <w:highlight w:val="none"/>
        </w:rPr>
        <w:t>社会治理更加有效。</w:t>
      </w:r>
      <w:r>
        <w:rPr>
          <w:rFonts w:hint="eastAsia" w:eastAsia="仿宋_GB2312"/>
          <w:color w:val="auto"/>
          <w:highlight w:val="none"/>
        </w:rPr>
        <w:t>各方面制度更加完善，基本实现市域社会治理体系和治理能力现代化，建成更高水平的法治秦皇岛、平安秦皇岛。</w:t>
      </w:r>
    </w:p>
    <w:p w14:paraId="3721FE5C">
      <w:pPr>
        <w:spacing w:line="560" w:lineRule="exact"/>
        <w:ind w:firstLine="645"/>
        <w:rPr>
          <w:rFonts w:eastAsia="仿宋_GB2312"/>
          <w:color w:val="auto"/>
          <w:highlight w:val="none"/>
        </w:rPr>
      </w:pPr>
      <w:r>
        <w:rPr>
          <w:rFonts w:eastAsia="楷体"/>
          <w:color w:val="auto"/>
          <w:highlight w:val="none"/>
        </w:rPr>
        <w:t>——</w:t>
      </w:r>
      <w:r>
        <w:rPr>
          <w:rFonts w:hint="eastAsia" w:eastAsia="楷体"/>
          <w:color w:val="auto"/>
          <w:highlight w:val="none"/>
        </w:rPr>
        <w:t>社会事业全面进步。</w:t>
      </w:r>
      <w:r>
        <w:rPr>
          <w:rFonts w:hint="eastAsia" w:eastAsia="仿宋_GB2312"/>
          <w:color w:val="auto"/>
          <w:highlight w:val="none"/>
        </w:rPr>
        <w:t>建成文化强市、教育强市、人才强市、体育强市、健康秦皇岛，市民素质和社会文明程度达到新高度。</w:t>
      </w:r>
    </w:p>
    <w:p w14:paraId="5475CB38">
      <w:pPr>
        <w:spacing w:line="560" w:lineRule="exact"/>
        <w:ind w:firstLine="645"/>
        <w:rPr>
          <w:rFonts w:eastAsia="仿宋_GB2312"/>
          <w:color w:val="auto"/>
          <w:highlight w:val="none"/>
        </w:rPr>
      </w:pPr>
      <w:r>
        <w:rPr>
          <w:rFonts w:eastAsia="楷体"/>
          <w:color w:val="auto"/>
          <w:highlight w:val="none"/>
        </w:rPr>
        <w:t>——</w:t>
      </w:r>
      <w:r>
        <w:rPr>
          <w:rFonts w:hint="eastAsia" w:eastAsia="楷体"/>
          <w:color w:val="auto"/>
          <w:highlight w:val="none"/>
        </w:rPr>
        <w:t>生态文明建设取得重大成效。</w:t>
      </w:r>
      <w:r>
        <w:rPr>
          <w:rFonts w:hint="eastAsia" w:eastAsia="仿宋_GB2312"/>
          <w:color w:val="auto"/>
          <w:highlight w:val="none"/>
        </w:rPr>
        <w:t>广泛形成绿色生产生活方式。</w:t>
      </w:r>
    </w:p>
    <w:p w14:paraId="6271CDD5">
      <w:pPr>
        <w:spacing w:line="560" w:lineRule="exact"/>
        <w:ind w:firstLine="645"/>
        <w:rPr>
          <w:rFonts w:eastAsia="仿宋_GB2312"/>
          <w:color w:val="auto"/>
          <w:highlight w:val="none"/>
        </w:rPr>
      </w:pPr>
      <w:r>
        <w:rPr>
          <w:rFonts w:eastAsia="楷体"/>
          <w:color w:val="auto"/>
          <w:highlight w:val="none"/>
        </w:rPr>
        <w:t>——</w:t>
      </w:r>
      <w:r>
        <w:rPr>
          <w:rFonts w:hint="eastAsia" w:eastAsia="楷体"/>
          <w:color w:val="auto"/>
          <w:highlight w:val="none"/>
        </w:rPr>
        <w:t>全面深化改革和发展深度融合、高效联动。</w:t>
      </w:r>
      <w:r>
        <w:rPr>
          <w:rFonts w:hint="eastAsia" w:eastAsia="仿宋_GB2312"/>
          <w:color w:val="auto"/>
          <w:highlight w:val="none"/>
        </w:rPr>
        <w:t>形成高水平开放型经济新体制，国际化和知名度及影响力明显提升。</w:t>
      </w:r>
    </w:p>
    <w:p w14:paraId="56585ED1">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eastAsia="仿宋_GB2312"/>
          <w:color w:val="auto"/>
          <w:highlight w:val="none"/>
        </w:rPr>
      </w:pPr>
      <w:r>
        <w:rPr>
          <w:rFonts w:eastAsia="楷体"/>
          <w:color w:val="auto"/>
          <w:highlight w:val="none"/>
        </w:rPr>
        <w:t>——</w:t>
      </w:r>
      <w:r>
        <w:rPr>
          <w:rFonts w:hint="eastAsia" w:eastAsia="楷体"/>
          <w:color w:val="auto"/>
          <w:highlight w:val="none"/>
        </w:rPr>
        <w:t>基本公共服务实现均等化。</w:t>
      </w:r>
      <w:r>
        <w:rPr>
          <w:rFonts w:hint="eastAsia" w:eastAsia="仿宋_GB2312"/>
          <w:color w:val="auto"/>
          <w:highlight w:val="none"/>
        </w:rPr>
        <w:t>城乡区域发展差距和居民生活水平差距显著缩小，人民生活更加幸福美好，人的全面发展、全体人民共同富裕取得新成效。</w:t>
      </w:r>
      <w:bookmarkStart w:id="142" w:name="_Toc4713"/>
      <w:bookmarkStart w:id="143" w:name="_Toc586"/>
    </w:p>
    <w:p w14:paraId="6412F5F3">
      <w:pPr>
        <w:pStyle w:val="23"/>
        <w:keepNext w:val="0"/>
        <w:keepLines w:val="0"/>
        <w:pageBreakBefore w:val="0"/>
        <w:widowControl w:val="0"/>
        <w:kinsoku/>
        <w:wordWrap/>
        <w:overflowPunct/>
        <w:topLinePunct w:val="0"/>
        <w:autoSpaceDE/>
        <w:autoSpaceDN/>
        <w:bidi w:val="0"/>
        <w:adjustRightInd/>
        <w:snapToGrid/>
        <w:spacing w:after="0" w:line="560" w:lineRule="exact"/>
        <w:textAlignment w:val="baseline"/>
        <w:rPr>
          <w:color w:val="auto"/>
          <w:highlight w:val="none"/>
        </w:rPr>
      </w:pPr>
    </w:p>
    <w:p w14:paraId="7A66FA30">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outlineLvl w:val="0"/>
        <w:rPr>
          <w:rFonts w:hint="eastAsia" w:eastAsia="宋体"/>
          <w:b/>
          <w:color w:val="auto"/>
          <w:sz w:val="36"/>
          <w:szCs w:val="36"/>
          <w:highlight w:val="none"/>
          <w:lang w:eastAsia="zh-CN"/>
        </w:rPr>
      </w:pPr>
      <w:bookmarkStart w:id="144" w:name="_Toc1665"/>
      <w:r>
        <w:rPr>
          <w:rFonts w:hint="eastAsia" w:eastAsia="宋体"/>
          <w:b/>
          <w:color w:val="auto"/>
          <w:sz w:val="36"/>
          <w:szCs w:val="36"/>
          <w:highlight w:val="none"/>
        </w:rPr>
        <w:t>第二章</w:t>
      </w:r>
      <w:bookmarkEnd w:id="142"/>
      <w:bookmarkEnd w:id="143"/>
      <w:r>
        <w:rPr>
          <w:rFonts w:eastAsia="宋体"/>
          <w:b/>
          <w:color w:val="auto"/>
          <w:sz w:val="36"/>
          <w:szCs w:val="36"/>
          <w:highlight w:val="none"/>
        </w:rPr>
        <w:t xml:space="preserve"> </w:t>
      </w:r>
      <w:r>
        <w:rPr>
          <w:rFonts w:hint="eastAsia" w:eastAsia="宋体"/>
          <w:b/>
          <w:color w:val="auto"/>
          <w:sz w:val="36"/>
          <w:szCs w:val="36"/>
          <w:highlight w:val="none"/>
          <w:lang w:eastAsia="zh-CN"/>
        </w:rPr>
        <w:t>“</w:t>
      </w:r>
      <w:r>
        <w:rPr>
          <w:rFonts w:hint="eastAsia" w:eastAsia="宋体"/>
          <w:b/>
          <w:color w:val="auto"/>
          <w:sz w:val="36"/>
          <w:szCs w:val="36"/>
          <w:highlight w:val="none"/>
        </w:rPr>
        <w:t>十四五</w:t>
      </w:r>
      <w:r>
        <w:rPr>
          <w:rFonts w:hint="eastAsia" w:eastAsia="宋体"/>
          <w:b/>
          <w:color w:val="auto"/>
          <w:sz w:val="36"/>
          <w:szCs w:val="36"/>
          <w:highlight w:val="none"/>
          <w:lang w:eastAsia="zh-CN"/>
        </w:rPr>
        <w:t>”</w:t>
      </w:r>
      <w:r>
        <w:rPr>
          <w:rFonts w:hint="eastAsia" w:eastAsia="宋体"/>
          <w:b/>
          <w:color w:val="auto"/>
          <w:sz w:val="36"/>
          <w:szCs w:val="36"/>
          <w:highlight w:val="none"/>
        </w:rPr>
        <w:t>时期经济社会发展</w:t>
      </w:r>
      <w:r>
        <w:rPr>
          <w:rFonts w:hint="eastAsia" w:eastAsia="宋体"/>
          <w:b/>
          <w:color w:val="auto"/>
          <w:sz w:val="36"/>
          <w:szCs w:val="36"/>
          <w:highlight w:val="none"/>
          <w:lang w:eastAsia="zh-CN"/>
        </w:rPr>
        <w:t>总体要求</w:t>
      </w:r>
      <w:bookmarkEnd w:id="144"/>
    </w:p>
    <w:p w14:paraId="23D6A79F">
      <w:pPr>
        <w:spacing w:line="560" w:lineRule="exact"/>
        <w:ind w:firstLine="646"/>
        <w:outlineLvl w:val="1"/>
        <w:rPr>
          <w:rFonts w:eastAsia="黑体"/>
          <w:color w:val="auto"/>
          <w:highlight w:val="none"/>
        </w:rPr>
      </w:pPr>
      <w:bookmarkStart w:id="145" w:name="_Toc3439"/>
      <w:bookmarkStart w:id="146" w:name="_Toc16276"/>
      <w:bookmarkStart w:id="147" w:name="_Toc25845"/>
      <w:r>
        <w:rPr>
          <w:rFonts w:hint="eastAsia" w:eastAsia="黑体"/>
          <w:color w:val="auto"/>
          <w:highlight w:val="none"/>
        </w:rPr>
        <w:t>一、指导思想</w:t>
      </w:r>
      <w:bookmarkEnd w:id="145"/>
      <w:bookmarkEnd w:id="146"/>
      <w:bookmarkEnd w:id="147"/>
    </w:p>
    <w:p w14:paraId="0E555F2D">
      <w:pPr>
        <w:spacing w:line="560" w:lineRule="exact"/>
        <w:ind w:firstLine="640" w:firstLineChars="200"/>
        <w:rPr>
          <w:rFonts w:eastAsia="仿宋_GB2312"/>
          <w:color w:val="auto"/>
          <w:highlight w:val="none"/>
        </w:rPr>
      </w:pPr>
      <w:r>
        <w:rPr>
          <w:rFonts w:hint="eastAsia" w:eastAsia="仿宋_GB2312"/>
          <w:color w:val="auto"/>
          <w:highlight w:val="none"/>
        </w:rPr>
        <w:t>高举中国特色社会主义伟大旗帜，深入贯彻党的十九大和十九届二中、三中、四中、五中全会精神，坚持以习近平新时代中国特色社会主义思想为指导，全面贯彻党的基本理论、基本路线、基本方略，认真落实省委</w:t>
      </w:r>
      <w:r>
        <w:rPr>
          <w:rFonts w:hint="eastAsia" w:eastAsia="仿宋_GB2312"/>
          <w:color w:val="auto"/>
          <w:highlight w:val="none"/>
          <w:lang w:val="en-US" w:eastAsia="zh-CN"/>
        </w:rPr>
        <w:t>九届十一次、十二次全会和市委十二届五次、六次全会精神</w:t>
      </w:r>
      <w:r>
        <w:rPr>
          <w:rFonts w:hint="eastAsia" w:eastAsia="仿宋_GB2312"/>
          <w:color w:val="auto"/>
          <w:highlight w:val="none"/>
        </w:rPr>
        <w:t>，统筹推进</w:t>
      </w:r>
      <w:r>
        <w:rPr>
          <w:rFonts w:hint="eastAsia" w:eastAsia="仿宋_GB2312"/>
          <w:color w:val="auto"/>
          <w:highlight w:val="none"/>
          <w:lang w:eastAsia="zh-CN"/>
        </w:rPr>
        <w:t>“</w:t>
      </w:r>
      <w:r>
        <w:rPr>
          <w:rFonts w:hint="eastAsia" w:eastAsia="仿宋_GB2312"/>
          <w:color w:val="auto"/>
          <w:highlight w:val="none"/>
        </w:rPr>
        <w:t>五位一体</w:t>
      </w:r>
      <w:r>
        <w:rPr>
          <w:rFonts w:hint="eastAsia" w:eastAsia="仿宋_GB2312"/>
          <w:color w:val="auto"/>
          <w:highlight w:val="none"/>
          <w:lang w:eastAsia="zh-CN"/>
        </w:rPr>
        <w:t>”</w:t>
      </w:r>
      <w:r>
        <w:rPr>
          <w:rFonts w:hint="eastAsia" w:eastAsia="仿宋_GB2312"/>
          <w:color w:val="auto"/>
          <w:highlight w:val="none"/>
        </w:rPr>
        <w:t>总体布局，协调推进</w:t>
      </w:r>
      <w:r>
        <w:rPr>
          <w:rFonts w:hint="eastAsia" w:eastAsia="仿宋_GB2312"/>
          <w:color w:val="auto"/>
          <w:highlight w:val="none"/>
          <w:lang w:eastAsia="zh-CN"/>
        </w:rPr>
        <w:t>“</w:t>
      </w:r>
      <w:r>
        <w:rPr>
          <w:rFonts w:hint="eastAsia" w:eastAsia="仿宋_GB2312"/>
          <w:color w:val="auto"/>
          <w:highlight w:val="none"/>
        </w:rPr>
        <w:t>四个全面</w:t>
      </w:r>
      <w:r>
        <w:rPr>
          <w:rFonts w:hint="eastAsia" w:eastAsia="仿宋_GB2312"/>
          <w:color w:val="auto"/>
          <w:highlight w:val="none"/>
          <w:lang w:eastAsia="zh-CN"/>
        </w:rPr>
        <w:t>”</w:t>
      </w:r>
      <w:r>
        <w:rPr>
          <w:rFonts w:hint="eastAsia" w:eastAsia="仿宋_GB2312"/>
          <w:color w:val="auto"/>
          <w:highlight w:val="none"/>
        </w:rPr>
        <w:t>战略布局，坚定不移贯彻新发展理念，坚持稳中求进工作总基调，以加快推动高质量发展可持续发展为主题，以深化供给侧结构性改革为主线，以改革创新为根本动力，以满足人民日益增长的美好生活需要为根本目的，统筹发展和安全，坚持</w:t>
      </w:r>
      <w:r>
        <w:rPr>
          <w:rFonts w:hint="eastAsia" w:eastAsia="仿宋_GB2312"/>
          <w:color w:val="auto"/>
          <w:highlight w:val="none"/>
          <w:lang w:eastAsia="zh-CN"/>
        </w:rPr>
        <w:t>“</w:t>
      </w:r>
      <w:r>
        <w:rPr>
          <w:rFonts w:hint="eastAsia" w:eastAsia="仿宋_GB2312"/>
          <w:color w:val="auto"/>
          <w:highlight w:val="none"/>
        </w:rPr>
        <w:t>讲政治、勇担当、抓落实、促发展</w:t>
      </w:r>
      <w:r>
        <w:rPr>
          <w:rFonts w:hint="eastAsia" w:eastAsia="仿宋_GB2312"/>
          <w:color w:val="auto"/>
          <w:highlight w:val="none"/>
          <w:lang w:eastAsia="zh-CN"/>
        </w:rPr>
        <w:t>”</w:t>
      </w:r>
      <w:r>
        <w:rPr>
          <w:rFonts w:hint="eastAsia" w:eastAsia="仿宋_GB2312"/>
          <w:color w:val="auto"/>
          <w:highlight w:val="none"/>
        </w:rPr>
        <w:t>工作导向，加快优化经济结构和提质增效，以实体经济为着力点，加快发展城市经济、县域经济和民营经济，培育发展数字经济和海洋经济，加快构建现代化经济体系，加快融入新发展格局，加快推进市域治理体系和治理能力现代化，强化基层基础建设，实现经济行稳致远、社会安定和谐，努力打造环境优美、产业繁荣、文明健康、安全舒适的一流国际旅游城市，开启新时代全面建设现代化国际化沿海强市、美丽港城新征程。</w:t>
      </w:r>
    </w:p>
    <w:p w14:paraId="3B07C720">
      <w:pPr>
        <w:spacing w:line="560" w:lineRule="exact"/>
        <w:ind w:firstLine="646"/>
        <w:outlineLvl w:val="1"/>
        <w:rPr>
          <w:rFonts w:eastAsia="黑体"/>
          <w:color w:val="auto"/>
          <w:highlight w:val="none"/>
        </w:rPr>
      </w:pPr>
      <w:bookmarkStart w:id="148" w:name="_Toc12068"/>
      <w:bookmarkStart w:id="149" w:name="_Toc26669"/>
      <w:bookmarkStart w:id="150" w:name="_Toc26328"/>
      <w:r>
        <w:rPr>
          <w:rFonts w:hint="eastAsia" w:eastAsia="黑体"/>
          <w:color w:val="auto"/>
          <w:highlight w:val="none"/>
        </w:rPr>
        <w:t>二、战略导向</w:t>
      </w:r>
      <w:bookmarkEnd w:id="148"/>
    </w:p>
    <w:p w14:paraId="55C97464">
      <w:pPr>
        <w:spacing w:line="560" w:lineRule="exact"/>
        <w:ind w:firstLine="640" w:firstLineChars="200"/>
        <w:rPr>
          <w:rFonts w:eastAsia="仿宋"/>
          <w:color w:val="auto"/>
          <w:highlight w:val="none"/>
        </w:rPr>
      </w:pPr>
      <w:r>
        <w:rPr>
          <w:rFonts w:hint="eastAsia" w:eastAsia="仿宋_GB2312"/>
          <w:color w:val="auto"/>
          <w:highlight w:val="none"/>
        </w:rPr>
        <w:t>迈向新发展阶段，践行新发展理念，融入新发展格局，需要持续丰富拓展发展思路，</w:t>
      </w:r>
      <w:r>
        <w:rPr>
          <w:rFonts w:hint="eastAsia" w:eastAsia="楷体"/>
          <w:b/>
          <w:color w:val="auto"/>
          <w:highlight w:val="none"/>
        </w:rPr>
        <w:t>要坚持以改革为动力，</w:t>
      </w:r>
      <w:r>
        <w:rPr>
          <w:rFonts w:hint="eastAsia" w:eastAsia="仿宋_GB2312"/>
          <w:color w:val="auto"/>
          <w:highlight w:val="none"/>
        </w:rPr>
        <w:t>着力破除制约高质量发展的陈旧观念、惯性思维和体制机制障碍，不断打造新动能；</w:t>
      </w:r>
      <w:r>
        <w:rPr>
          <w:rFonts w:hint="eastAsia" w:eastAsia="楷体"/>
          <w:b/>
          <w:color w:val="auto"/>
          <w:highlight w:val="none"/>
        </w:rPr>
        <w:t>要坚持以开放为引领，</w:t>
      </w:r>
      <w:r>
        <w:rPr>
          <w:rFonts w:hint="eastAsia" w:eastAsia="仿宋_GB2312"/>
          <w:color w:val="auto"/>
          <w:highlight w:val="none"/>
        </w:rPr>
        <w:t>打开大门搞建设，主动作为、积极融入新发展格局，以更高水平开放促进发展；</w:t>
      </w:r>
      <w:r>
        <w:rPr>
          <w:rFonts w:hint="eastAsia" w:eastAsia="楷体"/>
          <w:b/>
          <w:color w:val="auto"/>
          <w:highlight w:val="none"/>
        </w:rPr>
        <w:t>要坚持以产业为基础，</w:t>
      </w:r>
      <w:r>
        <w:rPr>
          <w:rFonts w:hint="eastAsia" w:eastAsia="仿宋_GB2312"/>
          <w:color w:val="auto"/>
          <w:highlight w:val="none"/>
        </w:rPr>
        <w:t>更高效率集聚先进生产要素，加快构建具有国际竞争力和区域带动力的现代产业体系；</w:t>
      </w:r>
      <w:r>
        <w:rPr>
          <w:rFonts w:hint="eastAsia" w:eastAsia="楷体"/>
          <w:b/>
          <w:color w:val="auto"/>
          <w:highlight w:val="none"/>
        </w:rPr>
        <w:t>要坚持以人才为支撑，</w:t>
      </w:r>
      <w:r>
        <w:rPr>
          <w:rFonts w:hint="eastAsia" w:eastAsia="仿宋_GB2312"/>
          <w:color w:val="auto"/>
          <w:highlight w:val="none"/>
        </w:rPr>
        <w:t>在引进、培养、使用和服务人才上求突破，最大限度激发人才创新创造活力；</w:t>
      </w:r>
      <w:r>
        <w:rPr>
          <w:rFonts w:hint="eastAsia" w:eastAsia="楷体"/>
          <w:b/>
          <w:color w:val="auto"/>
          <w:highlight w:val="none"/>
        </w:rPr>
        <w:t>要坚持以民生为根本</w:t>
      </w:r>
      <w:r>
        <w:rPr>
          <w:rFonts w:hint="eastAsia" w:eastAsia="仿宋"/>
          <w:color w:val="auto"/>
          <w:highlight w:val="none"/>
        </w:rPr>
        <w:t>，</w:t>
      </w:r>
      <w:r>
        <w:rPr>
          <w:rFonts w:hint="eastAsia" w:eastAsia="仿宋_GB2312"/>
          <w:color w:val="auto"/>
          <w:highlight w:val="none"/>
        </w:rPr>
        <w:t>一切工作为了人民，在改善民生中赢得民心、汇聚民力；</w:t>
      </w:r>
      <w:r>
        <w:rPr>
          <w:rFonts w:hint="eastAsia" w:eastAsia="楷体"/>
          <w:b/>
          <w:color w:val="auto"/>
          <w:highlight w:val="none"/>
        </w:rPr>
        <w:t>要坚持生态优先，</w:t>
      </w:r>
      <w:r>
        <w:rPr>
          <w:rFonts w:hint="eastAsia" w:eastAsia="仿宋_GB2312"/>
          <w:color w:val="auto"/>
          <w:highlight w:val="none"/>
        </w:rPr>
        <w:t>把生态作为秦皇岛发展的最亮底色，坚持保护生态环境就是保护生产力、改善生态环境就是发展生产力，让秦皇岛大地青山常在、绿水长流、蓝天永驻；</w:t>
      </w:r>
      <w:r>
        <w:rPr>
          <w:rFonts w:hint="eastAsia" w:eastAsia="楷体"/>
          <w:b/>
          <w:color w:val="auto"/>
          <w:highlight w:val="none"/>
        </w:rPr>
        <w:t>要坚持创新驱动，</w:t>
      </w:r>
      <w:r>
        <w:rPr>
          <w:rFonts w:hint="eastAsia" w:eastAsia="仿宋_GB2312"/>
          <w:color w:val="auto"/>
          <w:highlight w:val="none"/>
        </w:rPr>
        <w:t>把创新作为秦皇岛发展的最大法宝，加快形成以创新为引领的经济体系和发展模式，让创新贯穿秦皇岛经济社会发展各领域，成为秦皇岛高质量发展可持续发展最鲜明的特征；</w:t>
      </w:r>
      <w:r>
        <w:rPr>
          <w:rFonts w:hint="eastAsia" w:eastAsia="楷体"/>
          <w:b/>
          <w:color w:val="auto"/>
          <w:highlight w:val="none"/>
        </w:rPr>
        <w:t>要坚持统筹协调，</w:t>
      </w:r>
      <w:r>
        <w:rPr>
          <w:rFonts w:hint="eastAsia" w:eastAsia="仿宋_GB2312"/>
          <w:color w:val="auto"/>
          <w:highlight w:val="none"/>
        </w:rPr>
        <w:t>把统筹推进</w:t>
      </w:r>
      <w:r>
        <w:rPr>
          <w:rFonts w:hint="eastAsia" w:eastAsia="仿宋_GB2312"/>
          <w:color w:val="auto"/>
          <w:highlight w:val="none"/>
          <w:lang w:eastAsia="zh-CN"/>
        </w:rPr>
        <w:t>“</w:t>
      </w:r>
      <w:r>
        <w:rPr>
          <w:rFonts w:hint="eastAsia" w:eastAsia="仿宋_GB2312"/>
          <w:color w:val="auto"/>
          <w:highlight w:val="none"/>
        </w:rPr>
        <w:t>五位一体</w:t>
      </w:r>
      <w:r>
        <w:rPr>
          <w:rFonts w:hint="eastAsia" w:eastAsia="仿宋_GB2312"/>
          <w:color w:val="auto"/>
          <w:highlight w:val="none"/>
          <w:lang w:eastAsia="zh-CN"/>
        </w:rPr>
        <w:t>”</w:t>
      </w:r>
      <w:r>
        <w:rPr>
          <w:rFonts w:hint="eastAsia" w:eastAsia="仿宋_GB2312"/>
          <w:color w:val="auto"/>
          <w:highlight w:val="none"/>
        </w:rPr>
        <w:t>总体布局，协调推进</w:t>
      </w:r>
      <w:r>
        <w:rPr>
          <w:rFonts w:hint="eastAsia" w:eastAsia="仿宋_GB2312"/>
          <w:color w:val="auto"/>
          <w:highlight w:val="none"/>
          <w:lang w:eastAsia="zh-CN"/>
        </w:rPr>
        <w:t>“</w:t>
      </w:r>
      <w:r>
        <w:rPr>
          <w:rFonts w:hint="eastAsia" w:eastAsia="仿宋_GB2312"/>
          <w:color w:val="auto"/>
          <w:highlight w:val="none"/>
        </w:rPr>
        <w:t>四个全面</w:t>
      </w:r>
      <w:r>
        <w:rPr>
          <w:rFonts w:hint="eastAsia" w:eastAsia="仿宋_GB2312"/>
          <w:color w:val="auto"/>
          <w:highlight w:val="none"/>
          <w:lang w:eastAsia="zh-CN"/>
        </w:rPr>
        <w:t>”</w:t>
      </w:r>
      <w:r>
        <w:rPr>
          <w:rFonts w:hint="eastAsia" w:eastAsia="仿宋_GB2312"/>
          <w:color w:val="auto"/>
          <w:highlight w:val="none"/>
        </w:rPr>
        <w:t>战略布局作为现代化建设的核心要义，统筹经济社会各项事业，统筹城乡区域协调发展，全面提升市域治理体系和治理能力现代化水平，推动全市经济社会高质量发展可持续发展。</w:t>
      </w:r>
    </w:p>
    <w:p w14:paraId="755E4EDF">
      <w:pPr>
        <w:spacing w:line="560" w:lineRule="exact"/>
        <w:ind w:firstLine="646"/>
        <w:outlineLvl w:val="1"/>
        <w:rPr>
          <w:rFonts w:eastAsia="黑体"/>
          <w:color w:val="auto"/>
          <w:highlight w:val="none"/>
        </w:rPr>
      </w:pPr>
      <w:bookmarkStart w:id="151" w:name="_Toc9148"/>
      <w:r>
        <w:rPr>
          <w:rFonts w:hint="eastAsia" w:eastAsia="黑体"/>
          <w:color w:val="auto"/>
          <w:highlight w:val="none"/>
        </w:rPr>
        <w:t>三、基本原则</w:t>
      </w:r>
      <w:bookmarkEnd w:id="149"/>
      <w:bookmarkEnd w:id="150"/>
      <w:bookmarkEnd w:id="151"/>
    </w:p>
    <w:p w14:paraId="67F541C3">
      <w:pPr>
        <w:spacing w:line="560" w:lineRule="exact"/>
        <w:ind w:firstLine="640" w:firstLineChars="200"/>
        <w:rPr>
          <w:rFonts w:eastAsia="仿宋"/>
          <w:color w:val="auto"/>
          <w:highlight w:val="none"/>
        </w:rPr>
      </w:pPr>
      <w:r>
        <w:rPr>
          <w:rFonts w:eastAsia="楷体"/>
          <w:color w:val="auto"/>
          <w:highlight w:val="none"/>
        </w:rPr>
        <w:t>——</w:t>
      </w:r>
      <w:r>
        <w:rPr>
          <w:rFonts w:hint="eastAsia" w:eastAsia="楷体"/>
          <w:color w:val="auto"/>
          <w:highlight w:val="none"/>
        </w:rPr>
        <w:t>坚持党的全面领导。</w:t>
      </w:r>
      <w:r>
        <w:rPr>
          <w:rFonts w:hint="eastAsia" w:eastAsia="仿宋_GB2312"/>
          <w:color w:val="auto"/>
          <w:highlight w:val="none"/>
        </w:rPr>
        <w:t>坚持和完善党领导经济社会发展的体制机制，坚决执行维护党中央权威和集中统一领导的各项制度，始终同以习近平同志为核心的党中央保持高度一致，不断提高贯彻新发展理念、融入新发展格局的能力和水平，为实现高质量发展可持续发展提供根本保证。</w:t>
      </w:r>
    </w:p>
    <w:p w14:paraId="55ABB3EC">
      <w:pPr>
        <w:spacing w:line="560" w:lineRule="exact"/>
        <w:ind w:firstLine="640" w:firstLineChars="200"/>
        <w:rPr>
          <w:rFonts w:eastAsia="仿宋"/>
          <w:color w:val="auto"/>
          <w:highlight w:val="none"/>
        </w:rPr>
      </w:pPr>
      <w:r>
        <w:rPr>
          <w:rFonts w:eastAsia="楷体"/>
          <w:color w:val="auto"/>
          <w:highlight w:val="none"/>
        </w:rPr>
        <w:t>——</w:t>
      </w:r>
      <w:r>
        <w:rPr>
          <w:rFonts w:hint="eastAsia" w:eastAsia="楷体"/>
          <w:color w:val="auto"/>
          <w:highlight w:val="none"/>
        </w:rPr>
        <w:t>坚持以人民为中心。</w:t>
      </w:r>
      <w:r>
        <w:rPr>
          <w:rFonts w:hint="eastAsia" w:eastAsia="仿宋_GB2312"/>
          <w:color w:val="auto"/>
          <w:highlight w:val="none"/>
        </w:rPr>
        <w:t>坚持人民主体地位，持之以恒关注民生、扎实有力保障民生、坚持不懈改善民生，持续加大民生投入、办好民生实事，不断实现人民对美好生活的向往。尊重人民首创精神，发展人民民主，促进社会公平，充分调动人民积极性、主动性、创造性。</w:t>
      </w:r>
    </w:p>
    <w:p w14:paraId="1F7699B5">
      <w:pPr>
        <w:spacing w:line="560" w:lineRule="exact"/>
        <w:ind w:firstLine="640" w:firstLineChars="200"/>
        <w:rPr>
          <w:color w:val="auto"/>
          <w:highlight w:val="none"/>
        </w:rPr>
      </w:pPr>
      <w:r>
        <w:rPr>
          <w:rFonts w:eastAsia="楷体"/>
          <w:color w:val="auto"/>
          <w:highlight w:val="none"/>
        </w:rPr>
        <w:t>——</w:t>
      </w:r>
      <w:r>
        <w:rPr>
          <w:rFonts w:hint="eastAsia" w:eastAsia="楷体"/>
          <w:color w:val="auto"/>
          <w:highlight w:val="none"/>
        </w:rPr>
        <w:t>坚持新发展理念。</w:t>
      </w:r>
      <w:r>
        <w:rPr>
          <w:rFonts w:hint="eastAsia" w:eastAsia="仿宋_GB2312"/>
          <w:color w:val="auto"/>
          <w:highlight w:val="none"/>
        </w:rPr>
        <w:t>始终把新发展理念贯穿发展全过程和各领域，推动思想再解放、观念再更新，切实转变发展方式，加快转型升级和提质增效，创新发展动能，实现更高质量、更有效率、更加公平、更可持续、更为安全的发展。</w:t>
      </w:r>
    </w:p>
    <w:p w14:paraId="7A3FEC5A">
      <w:pPr>
        <w:spacing w:line="560" w:lineRule="exact"/>
        <w:ind w:firstLine="640" w:firstLineChars="200"/>
        <w:rPr>
          <w:rFonts w:eastAsia="仿宋_GB2312"/>
          <w:color w:val="auto"/>
          <w:highlight w:val="none"/>
        </w:rPr>
      </w:pPr>
      <w:r>
        <w:rPr>
          <w:rFonts w:eastAsia="楷体"/>
          <w:color w:val="auto"/>
          <w:highlight w:val="none"/>
        </w:rPr>
        <w:t>——</w:t>
      </w:r>
      <w:r>
        <w:rPr>
          <w:rFonts w:hint="eastAsia" w:eastAsia="楷体"/>
          <w:color w:val="auto"/>
          <w:highlight w:val="none"/>
        </w:rPr>
        <w:t>坚持深化改革开放。</w:t>
      </w:r>
      <w:r>
        <w:rPr>
          <w:rFonts w:hint="eastAsia" w:eastAsia="仿宋_GB2312"/>
          <w:color w:val="auto"/>
          <w:highlight w:val="none"/>
        </w:rPr>
        <w:t>坚定不移把改革作为推动发展的关键一招，把开放作为制胜未来的必由之路，以深化改革激发新发展活力，以高水平开放提升发展竞争力，破除影响高质量发展、高品质生活、高效能治理的体制机制障碍，奋力走出一条具有时代特征、秦皇岛特色的市域治理现代化路子。</w:t>
      </w:r>
    </w:p>
    <w:p w14:paraId="17A80CD5">
      <w:pPr>
        <w:spacing w:line="560" w:lineRule="exact"/>
        <w:ind w:firstLine="640" w:firstLineChars="200"/>
        <w:rPr>
          <w:rFonts w:eastAsia="仿宋"/>
          <w:color w:val="auto"/>
          <w:highlight w:val="none"/>
        </w:rPr>
      </w:pPr>
      <w:r>
        <w:rPr>
          <w:rFonts w:eastAsia="楷体"/>
          <w:color w:val="auto"/>
          <w:highlight w:val="none"/>
        </w:rPr>
        <w:t>——</w:t>
      </w:r>
      <w:r>
        <w:rPr>
          <w:rFonts w:hint="eastAsia" w:eastAsia="楷体"/>
          <w:color w:val="auto"/>
          <w:highlight w:val="none"/>
        </w:rPr>
        <w:t>坚持系统观念。</w:t>
      </w:r>
      <w:r>
        <w:rPr>
          <w:rFonts w:hint="eastAsia" w:eastAsia="仿宋_GB2312"/>
          <w:color w:val="auto"/>
          <w:highlight w:val="none"/>
        </w:rPr>
        <w:t>把筑牢首都政治</w:t>
      </w:r>
      <w:r>
        <w:rPr>
          <w:rFonts w:hint="eastAsia" w:eastAsia="仿宋_GB2312"/>
          <w:color w:val="auto"/>
          <w:highlight w:val="none"/>
          <w:lang w:eastAsia="zh-CN"/>
        </w:rPr>
        <w:t>“</w:t>
      </w:r>
      <w:r>
        <w:rPr>
          <w:rFonts w:hint="eastAsia" w:eastAsia="仿宋_GB2312"/>
          <w:color w:val="auto"/>
          <w:highlight w:val="none"/>
        </w:rPr>
        <w:t>护城河</w:t>
      </w:r>
      <w:r>
        <w:rPr>
          <w:rFonts w:hint="eastAsia" w:eastAsia="仿宋_GB2312"/>
          <w:color w:val="auto"/>
          <w:highlight w:val="none"/>
          <w:lang w:eastAsia="zh-CN"/>
        </w:rPr>
        <w:t>”</w:t>
      </w:r>
      <w:r>
        <w:rPr>
          <w:rFonts w:hint="eastAsia" w:eastAsia="仿宋_GB2312"/>
          <w:color w:val="auto"/>
          <w:highlight w:val="none"/>
        </w:rPr>
        <w:t>的秦皇岛防线作为政治之责、为政之要，加强前瞻性思考、全局性谋划、战略性布局、整体性推进，发挥各方面积极性，着力固根基、扬优势、补短板、强弱项，注重防范化解重大风险挑战，注重健全完善长效机制，实现发展质量、结构、规模、速度、效益、安全相统一。</w:t>
      </w:r>
    </w:p>
    <w:p w14:paraId="1DF8FA83">
      <w:pPr>
        <w:spacing w:line="560" w:lineRule="exact"/>
        <w:ind w:firstLine="640" w:firstLineChars="200"/>
        <w:rPr>
          <w:color w:val="auto"/>
          <w:highlight w:val="none"/>
        </w:rPr>
      </w:pPr>
      <w:r>
        <w:rPr>
          <w:rFonts w:eastAsia="楷体"/>
          <w:color w:val="auto"/>
          <w:highlight w:val="none"/>
        </w:rPr>
        <w:t>——</w:t>
      </w:r>
      <w:r>
        <w:rPr>
          <w:rFonts w:hint="eastAsia" w:eastAsia="楷体"/>
          <w:color w:val="auto"/>
          <w:highlight w:val="none"/>
        </w:rPr>
        <w:t>坚持精准高效抓落实。</w:t>
      </w:r>
      <w:r>
        <w:rPr>
          <w:rFonts w:hint="eastAsia" w:eastAsia="仿宋_GB2312"/>
          <w:color w:val="auto"/>
          <w:highlight w:val="none"/>
        </w:rPr>
        <w:t>把抓落实作为开展工作的主要方式，干字当头，实字打底，强化当仁不让、舍我其谁的担当精神。各项工作精准定位、精准发力，注重长效机制建设，强化基层基础建设，选准突破口，打好攻坚战，以</w:t>
      </w:r>
      <w:r>
        <w:rPr>
          <w:rFonts w:hint="eastAsia" w:eastAsia="仿宋_GB2312"/>
          <w:color w:val="auto"/>
          <w:highlight w:val="none"/>
          <w:lang w:eastAsia="zh-CN"/>
        </w:rPr>
        <w:t>“</w:t>
      </w:r>
      <w:r>
        <w:rPr>
          <w:rFonts w:hint="eastAsia" w:eastAsia="仿宋_GB2312"/>
          <w:color w:val="auto"/>
          <w:highlight w:val="none"/>
        </w:rPr>
        <w:t>马上办</w:t>
      </w:r>
      <w:r>
        <w:rPr>
          <w:rFonts w:hint="eastAsia" w:eastAsia="仿宋_GB2312"/>
          <w:color w:val="auto"/>
          <w:highlight w:val="none"/>
          <w:lang w:eastAsia="zh-CN"/>
        </w:rPr>
        <w:t>”</w:t>
      </w:r>
      <w:r>
        <w:rPr>
          <w:rFonts w:hint="eastAsia" w:eastAsia="仿宋_GB2312"/>
          <w:color w:val="auto"/>
          <w:highlight w:val="none"/>
        </w:rPr>
        <w:t>的作风、</w:t>
      </w:r>
      <w:r>
        <w:rPr>
          <w:rFonts w:hint="eastAsia" w:eastAsia="仿宋_GB2312"/>
          <w:color w:val="auto"/>
          <w:highlight w:val="none"/>
          <w:lang w:eastAsia="zh-CN"/>
        </w:rPr>
        <w:t>“</w:t>
      </w:r>
      <w:r>
        <w:rPr>
          <w:rFonts w:hint="eastAsia" w:eastAsia="仿宋_GB2312"/>
          <w:color w:val="auto"/>
          <w:highlight w:val="none"/>
        </w:rPr>
        <w:t>钉钉子</w:t>
      </w:r>
      <w:r>
        <w:rPr>
          <w:rFonts w:hint="eastAsia" w:eastAsia="仿宋_GB2312"/>
          <w:color w:val="auto"/>
          <w:highlight w:val="none"/>
          <w:lang w:eastAsia="zh-CN"/>
        </w:rPr>
        <w:t>”</w:t>
      </w:r>
      <w:r>
        <w:rPr>
          <w:rFonts w:hint="eastAsia" w:eastAsia="仿宋_GB2312"/>
          <w:color w:val="auto"/>
          <w:highlight w:val="none"/>
        </w:rPr>
        <w:t>的精神，精准高效抓落实，推进各项工作增比进位，打造亮点品牌，创出一流业绩。</w:t>
      </w:r>
    </w:p>
    <w:p w14:paraId="55EB7F37">
      <w:pPr>
        <w:spacing w:line="560" w:lineRule="exact"/>
        <w:ind w:firstLine="640" w:firstLineChars="200"/>
        <w:outlineLvl w:val="1"/>
        <w:rPr>
          <w:color w:val="auto"/>
          <w:highlight w:val="none"/>
        </w:rPr>
      </w:pPr>
      <w:bookmarkStart w:id="152" w:name="_Toc22105"/>
      <w:bookmarkStart w:id="153" w:name="_Toc26076"/>
      <w:bookmarkStart w:id="154" w:name="_Toc316"/>
      <w:r>
        <w:rPr>
          <w:rFonts w:hint="eastAsia" w:eastAsia="黑体"/>
          <w:color w:val="auto"/>
          <w:highlight w:val="none"/>
        </w:rPr>
        <w:t>四、发展目标</w:t>
      </w:r>
      <w:bookmarkEnd w:id="152"/>
      <w:bookmarkEnd w:id="153"/>
      <w:bookmarkEnd w:id="154"/>
    </w:p>
    <w:p w14:paraId="1296451D">
      <w:pPr>
        <w:spacing w:line="560" w:lineRule="exact"/>
        <w:ind w:firstLine="640" w:firstLineChars="200"/>
        <w:rPr>
          <w:rFonts w:eastAsia="仿宋_GB2312"/>
          <w:color w:val="auto"/>
          <w:highlight w:val="none"/>
        </w:rPr>
      </w:pPr>
      <w:r>
        <w:rPr>
          <w:rFonts w:eastAsia="楷体"/>
          <w:color w:val="auto"/>
          <w:highlight w:val="none"/>
        </w:rPr>
        <w:t>——</w:t>
      </w:r>
      <w:r>
        <w:rPr>
          <w:rFonts w:hint="eastAsia" w:eastAsia="楷体"/>
          <w:color w:val="auto"/>
          <w:highlight w:val="none"/>
        </w:rPr>
        <w:t>经济发展实现新跃升。</w:t>
      </w:r>
      <w:r>
        <w:rPr>
          <w:rFonts w:hint="eastAsia" w:eastAsia="仿宋_GB2312"/>
          <w:color w:val="auto"/>
          <w:highlight w:val="none"/>
        </w:rPr>
        <w:t>在质量效益明显提升基础上实现经济持续健康发展，经济结构更加优化，创新能力明显提高，农业基础更加稳固，高新技术、装备制造、临港物流、文体旅游等产业的支柱作用更加突出，实体经济加快发展，数字经济和海洋经济加快成长，产业基础高级化、产业链现代化水平大幅提升，城乡区域发展协调性明显增强，综合经济实力和各级政府财力显著提高，全市生产总值年均增长</w:t>
      </w:r>
      <w:r>
        <w:rPr>
          <w:rFonts w:eastAsia="仿宋_GB2312"/>
          <w:color w:val="auto"/>
          <w:highlight w:val="none"/>
        </w:rPr>
        <w:t>6</w:t>
      </w:r>
      <w:r>
        <w:rPr>
          <w:rFonts w:hint="eastAsia" w:eastAsia="仿宋_GB2312"/>
          <w:color w:val="auto"/>
          <w:highlight w:val="none"/>
          <w:lang w:val="en-US" w:eastAsia="zh-CN"/>
        </w:rPr>
        <w:t>.5</w:t>
      </w:r>
      <w:r>
        <w:rPr>
          <w:rFonts w:hint="eastAsia" w:eastAsia="仿宋_GB2312"/>
          <w:color w:val="auto"/>
          <w:highlight w:val="none"/>
        </w:rPr>
        <w:t>％左右，</w:t>
      </w:r>
      <w:r>
        <w:rPr>
          <w:rFonts w:hint="eastAsia" w:eastAsia="仿宋_GB2312"/>
          <w:color w:val="auto"/>
          <w:highlight w:val="none"/>
          <w:lang w:eastAsia="zh-CN"/>
        </w:rPr>
        <w:t>到</w:t>
      </w:r>
      <w:r>
        <w:rPr>
          <w:rFonts w:hint="eastAsia" w:eastAsia="仿宋_GB2312"/>
          <w:color w:val="auto"/>
          <w:highlight w:val="none"/>
          <w:lang w:val="en-US" w:eastAsia="zh-CN"/>
        </w:rPr>
        <w:t>2023年</w:t>
      </w:r>
      <w:r>
        <w:rPr>
          <w:rFonts w:hint="eastAsia" w:eastAsia="仿宋_GB2312"/>
          <w:color w:val="auto"/>
          <w:highlight w:val="none"/>
          <w:lang w:eastAsia="zh-CN"/>
        </w:rPr>
        <w:t>经济总量跨上</w:t>
      </w:r>
      <w:r>
        <w:rPr>
          <w:rFonts w:hint="eastAsia" w:eastAsia="仿宋_GB2312"/>
          <w:color w:val="auto"/>
          <w:highlight w:val="none"/>
          <w:lang w:val="en-US" w:eastAsia="zh-CN"/>
        </w:rPr>
        <w:t>2000亿元台阶。</w:t>
      </w:r>
      <w:r>
        <w:rPr>
          <w:rFonts w:hint="eastAsia" w:eastAsia="仿宋_GB2312"/>
          <w:color w:val="auto"/>
          <w:highlight w:val="none"/>
        </w:rPr>
        <w:t>全市常住人口城镇化率达到</w:t>
      </w:r>
      <w:r>
        <w:rPr>
          <w:rFonts w:eastAsia="仿宋_GB2312"/>
          <w:color w:val="auto"/>
          <w:highlight w:val="none"/>
        </w:rPr>
        <w:t>68%</w:t>
      </w:r>
      <w:r>
        <w:rPr>
          <w:rFonts w:hint="eastAsia" w:eastAsia="仿宋_GB2312"/>
          <w:color w:val="auto"/>
          <w:highlight w:val="none"/>
        </w:rPr>
        <w:t>左右。</w:t>
      </w:r>
    </w:p>
    <w:p w14:paraId="210967B4">
      <w:pPr>
        <w:spacing w:line="560" w:lineRule="exact"/>
        <w:ind w:firstLine="640" w:firstLineChars="200"/>
        <w:rPr>
          <w:rFonts w:eastAsia="仿宋_GB2312"/>
          <w:color w:val="auto"/>
          <w:highlight w:val="none"/>
        </w:rPr>
      </w:pPr>
      <w:r>
        <w:rPr>
          <w:rFonts w:eastAsia="楷体"/>
          <w:color w:val="auto"/>
          <w:highlight w:val="none"/>
        </w:rPr>
        <w:t>——</w:t>
      </w:r>
      <w:r>
        <w:rPr>
          <w:rFonts w:hint="eastAsia" w:eastAsia="楷体"/>
          <w:color w:val="auto"/>
          <w:highlight w:val="none"/>
        </w:rPr>
        <w:t>改革开放迈出新步伐。</w:t>
      </w:r>
      <w:r>
        <w:rPr>
          <w:rFonts w:hint="eastAsia" w:eastAsia="仿宋_GB2312"/>
          <w:color w:val="auto"/>
          <w:highlight w:val="none"/>
        </w:rPr>
        <w:t>重点领域改革取得突破性进展，要素市场化配置机制更加健全，公平竞争制度更加完善，高标准市场体系基本建成，营商环境达到国内一流水平，生命健康产业创新示范区、综合保税区建设取得明显成效，开发区能级大幅提升，加快建成河北沿海经济带的开放新高地。</w:t>
      </w:r>
    </w:p>
    <w:p w14:paraId="49E5B65C">
      <w:pPr>
        <w:spacing w:line="560" w:lineRule="exact"/>
        <w:ind w:firstLine="640" w:firstLineChars="200"/>
        <w:rPr>
          <w:rFonts w:eastAsia="仿宋"/>
          <w:color w:val="auto"/>
          <w:highlight w:val="none"/>
        </w:rPr>
      </w:pPr>
      <w:r>
        <w:rPr>
          <w:rFonts w:eastAsia="楷体"/>
          <w:color w:val="auto"/>
          <w:highlight w:val="none"/>
        </w:rPr>
        <w:t>——</w:t>
      </w:r>
      <w:r>
        <w:rPr>
          <w:rFonts w:hint="eastAsia" w:eastAsia="楷体"/>
          <w:color w:val="auto"/>
          <w:highlight w:val="none"/>
        </w:rPr>
        <w:t>社会文明程度得到新提高。</w:t>
      </w:r>
      <w:r>
        <w:rPr>
          <w:rFonts w:hint="eastAsia" w:eastAsia="仿宋_GB2312"/>
          <w:color w:val="auto"/>
          <w:highlight w:val="none"/>
        </w:rPr>
        <w:t>习近平新时代中国特色社会主义思想深入人心，社会主义核心价值观融入社会发展各方面，市民思想道德素质、科学文化素质和身心健康素质明显提升，公共文化服务体系更加完善，文化事业和文化产业发展活力迸发。</w:t>
      </w:r>
    </w:p>
    <w:p w14:paraId="73D8803D">
      <w:pPr>
        <w:spacing w:line="560" w:lineRule="exact"/>
        <w:ind w:firstLine="640" w:firstLineChars="200"/>
        <w:rPr>
          <w:rFonts w:eastAsia="仿宋"/>
          <w:color w:val="auto"/>
          <w:highlight w:val="none"/>
        </w:rPr>
      </w:pPr>
      <w:r>
        <w:rPr>
          <w:rFonts w:eastAsia="楷体"/>
          <w:color w:val="auto"/>
          <w:highlight w:val="none"/>
        </w:rPr>
        <w:t>——</w:t>
      </w:r>
      <w:r>
        <w:rPr>
          <w:rFonts w:hint="eastAsia" w:eastAsia="楷体"/>
          <w:color w:val="auto"/>
          <w:highlight w:val="none"/>
        </w:rPr>
        <w:t>生态文明建设取得新进步。</w:t>
      </w:r>
      <w:r>
        <w:rPr>
          <w:rFonts w:hint="eastAsia" w:eastAsia="仿宋_GB2312"/>
          <w:color w:val="auto"/>
          <w:highlight w:val="none"/>
        </w:rPr>
        <w:t>国土空间开发保护格局得到优化，生态文明制度体系更加健全，能源资源利用效率大幅提高，污染物排放总量持续减少，山水林田湖海系统治理水平不断提升，城乡人居环境更加优美，生态环境质量处于京津冀城市群前列，市域林木覆盖率保持在</w:t>
      </w:r>
      <w:r>
        <w:rPr>
          <w:rFonts w:eastAsia="仿宋_GB2312"/>
          <w:color w:val="auto"/>
          <w:highlight w:val="none"/>
        </w:rPr>
        <w:t>60%</w:t>
      </w:r>
      <w:r>
        <w:rPr>
          <w:rFonts w:hint="eastAsia" w:eastAsia="仿宋_GB2312"/>
          <w:color w:val="auto"/>
          <w:highlight w:val="none"/>
        </w:rPr>
        <w:t>。</w:t>
      </w:r>
    </w:p>
    <w:p w14:paraId="039B65EF">
      <w:pPr>
        <w:spacing w:line="560" w:lineRule="exact"/>
        <w:ind w:firstLine="640" w:firstLineChars="200"/>
        <w:rPr>
          <w:rFonts w:eastAsia="仿宋_GB2312"/>
          <w:color w:val="auto"/>
          <w:highlight w:val="none"/>
        </w:rPr>
      </w:pPr>
      <w:r>
        <w:rPr>
          <w:rFonts w:eastAsia="楷体"/>
          <w:color w:val="auto"/>
          <w:highlight w:val="none"/>
        </w:rPr>
        <w:t>——</w:t>
      </w:r>
      <w:r>
        <w:rPr>
          <w:rFonts w:hint="eastAsia" w:eastAsia="楷体"/>
          <w:color w:val="auto"/>
          <w:highlight w:val="none"/>
        </w:rPr>
        <w:t>民生福祉达到新水平。</w:t>
      </w:r>
      <w:r>
        <w:rPr>
          <w:rFonts w:hint="eastAsia" w:eastAsia="仿宋_GB2312"/>
          <w:color w:val="auto"/>
          <w:highlight w:val="none"/>
        </w:rPr>
        <w:t>实现更加充分更高质量就业，居民收入增长和经济增长基本同步，社会事业全面发展，全民受教育程度、人均体质和健康水平明显提升，基本公共服务均等化水平不断提高，多层次社会保障体系更加健全，脱贫攻坚和防贫帮扶成果巩固拓展，乡村振兴全面推进，更好实现人民对美好生活的向往。</w:t>
      </w:r>
    </w:p>
    <w:p w14:paraId="4EF837E3">
      <w:pPr>
        <w:spacing w:line="560" w:lineRule="exact"/>
        <w:ind w:firstLine="640" w:firstLineChars="200"/>
        <w:rPr>
          <w:rFonts w:eastAsia="仿宋"/>
          <w:color w:val="auto"/>
          <w:highlight w:val="none"/>
        </w:rPr>
      </w:pPr>
      <w:r>
        <w:rPr>
          <w:rFonts w:eastAsia="楷体"/>
          <w:color w:val="auto"/>
          <w:highlight w:val="none"/>
        </w:rPr>
        <w:t>——</w:t>
      </w:r>
      <w:r>
        <w:rPr>
          <w:rFonts w:hint="eastAsia" w:eastAsia="楷体"/>
          <w:color w:val="auto"/>
          <w:highlight w:val="none"/>
        </w:rPr>
        <w:t>市域治理效能得到新提升。</w:t>
      </w:r>
      <w:r>
        <w:rPr>
          <w:rFonts w:hint="eastAsia" w:eastAsia="仿宋_GB2312"/>
          <w:color w:val="auto"/>
          <w:highlight w:val="none"/>
        </w:rPr>
        <w:t>城市规划建设管理精细化水平有新提高，国际化水平有新突破，港产城深度融合，以人为核心的新型城镇化加快推进。依法治市迈出坚实步伐，社会公平正义进一步彰显，共建共治共享的社会治理体系更加健全，基层基础更加稳固，旅游旺季服务保障水平持续提升，重大突发公共事件应急能力和防灾减灾抗灾救灾能力明显增强，防范化解重大风险和安全发展体制机制不断完善，首都</w:t>
      </w:r>
      <w:r>
        <w:rPr>
          <w:rFonts w:hint="eastAsia" w:eastAsia="仿宋_GB2312"/>
          <w:color w:val="auto"/>
          <w:highlight w:val="none"/>
          <w:lang w:eastAsia="zh-CN"/>
        </w:rPr>
        <w:t>政治“护城河”</w:t>
      </w:r>
      <w:r>
        <w:rPr>
          <w:rFonts w:hint="eastAsia" w:eastAsia="仿宋_GB2312"/>
          <w:color w:val="auto"/>
          <w:highlight w:val="none"/>
        </w:rPr>
        <w:t>的秦皇岛防线更加牢固可靠。</w:t>
      </w:r>
    </w:p>
    <w:p w14:paraId="067AA4B6">
      <w:pPr>
        <w:spacing w:line="560" w:lineRule="exact"/>
        <w:ind w:firstLine="482" w:firstLineChars="200"/>
        <w:jc w:val="center"/>
        <w:rPr>
          <w:rFonts w:hint="eastAsia" w:eastAsia="宋体"/>
          <w:b/>
          <w:bCs/>
          <w:color w:val="auto"/>
          <w:sz w:val="24"/>
          <w:szCs w:val="24"/>
          <w:highlight w:val="none"/>
        </w:rPr>
      </w:pPr>
      <w:r>
        <w:rPr>
          <w:rFonts w:hint="eastAsia" w:eastAsia="宋体"/>
          <w:b/>
          <w:bCs/>
          <w:color w:val="auto"/>
          <w:sz w:val="24"/>
          <w:szCs w:val="24"/>
          <w:highlight w:val="none"/>
        </w:rPr>
        <w:t>秦皇岛市</w:t>
      </w:r>
      <w:r>
        <w:rPr>
          <w:rFonts w:hint="eastAsia" w:eastAsia="宋体"/>
          <w:b/>
          <w:bCs/>
          <w:color w:val="auto"/>
          <w:sz w:val="24"/>
          <w:szCs w:val="24"/>
          <w:highlight w:val="none"/>
          <w:lang w:eastAsia="zh-CN"/>
        </w:rPr>
        <w:t>“</w:t>
      </w:r>
      <w:r>
        <w:rPr>
          <w:rFonts w:hint="eastAsia" w:eastAsia="宋体"/>
          <w:b/>
          <w:bCs/>
          <w:color w:val="auto"/>
          <w:sz w:val="24"/>
          <w:szCs w:val="24"/>
          <w:highlight w:val="none"/>
        </w:rPr>
        <w:t>十四五</w:t>
      </w:r>
      <w:r>
        <w:rPr>
          <w:rFonts w:hint="eastAsia" w:eastAsia="宋体"/>
          <w:b/>
          <w:bCs/>
          <w:color w:val="auto"/>
          <w:sz w:val="24"/>
          <w:szCs w:val="24"/>
          <w:highlight w:val="none"/>
          <w:lang w:eastAsia="zh-CN"/>
        </w:rPr>
        <w:t>”</w:t>
      </w:r>
      <w:r>
        <w:rPr>
          <w:rFonts w:hint="eastAsia" w:eastAsia="宋体"/>
          <w:b/>
          <w:bCs/>
          <w:color w:val="auto"/>
          <w:sz w:val="24"/>
          <w:szCs w:val="24"/>
          <w:highlight w:val="none"/>
        </w:rPr>
        <w:t>时期经济和社会发展主要指标</w:t>
      </w:r>
    </w:p>
    <w:tbl>
      <w:tblPr>
        <w:tblStyle w:val="17"/>
        <w:tblW w:w="855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062"/>
        <w:gridCol w:w="1214"/>
        <w:gridCol w:w="1152"/>
        <w:gridCol w:w="996"/>
        <w:gridCol w:w="1132"/>
      </w:tblGrid>
      <w:tr w14:paraId="2459B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91" w:hRule="atLeast"/>
          <w:jc w:val="center"/>
        </w:trPr>
        <w:tc>
          <w:tcPr>
            <w:tcW w:w="4062" w:type="dxa"/>
            <w:vAlign w:val="center"/>
          </w:tcPr>
          <w:p w14:paraId="3C32E4B0">
            <w:pPr>
              <w:pStyle w:val="41"/>
              <w:rPr>
                <w:color w:val="auto"/>
                <w:szCs w:val="18"/>
                <w:highlight w:val="none"/>
              </w:rPr>
            </w:pPr>
            <w:r>
              <w:rPr>
                <w:rFonts w:hint="eastAsia"/>
                <w:color w:val="auto"/>
                <w:szCs w:val="18"/>
                <w:highlight w:val="none"/>
              </w:rPr>
              <w:t>指标名称</w:t>
            </w:r>
          </w:p>
        </w:tc>
        <w:tc>
          <w:tcPr>
            <w:tcW w:w="1214" w:type="dxa"/>
            <w:vAlign w:val="center"/>
          </w:tcPr>
          <w:p w14:paraId="78C18F2C">
            <w:pPr>
              <w:pStyle w:val="41"/>
              <w:rPr>
                <w:color w:val="auto"/>
                <w:szCs w:val="18"/>
                <w:highlight w:val="none"/>
              </w:rPr>
            </w:pPr>
            <w:r>
              <w:rPr>
                <w:color w:val="auto"/>
                <w:szCs w:val="18"/>
                <w:highlight w:val="none"/>
              </w:rPr>
              <w:t>2020</w:t>
            </w:r>
            <w:r>
              <w:rPr>
                <w:rFonts w:hint="eastAsia"/>
                <w:color w:val="auto"/>
                <w:szCs w:val="18"/>
                <w:highlight w:val="none"/>
              </w:rPr>
              <w:t>年基数</w:t>
            </w:r>
          </w:p>
        </w:tc>
        <w:tc>
          <w:tcPr>
            <w:tcW w:w="1152" w:type="dxa"/>
            <w:vAlign w:val="center"/>
          </w:tcPr>
          <w:p w14:paraId="306DAC2D">
            <w:pPr>
              <w:pStyle w:val="41"/>
              <w:rPr>
                <w:color w:val="auto"/>
                <w:szCs w:val="18"/>
                <w:highlight w:val="none"/>
              </w:rPr>
            </w:pPr>
            <w:r>
              <w:rPr>
                <w:color w:val="auto"/>
                <w:szCs w:val="18"/>
                <w:highlight w:val="none"/>
              </w:rPr>
              <w:t>2025</w:t>
            </w:r>
            <w:r>
              <w:rPr>
                <w:rFonts w:hint="eastAsia"/>
                <w:color w:val="auto"/>
                <w:szCs w:val="18"/>
                <w:highlight w:val="none"/>
              </w:rPr>
              <w:t>年目标</w:t>
            </w:r>
          </w:p>
        </w:tc>
        <w:tc>
          <w:tcPr>
            <w:tcW w:w="996" w:type="dxa"/>
            <w:vAlign w:val="center"/>
          </w:tcPr>
          <w:p w14:paraId="5B2E6C54">
            <w:pPr>
              <w:pStyle w:val="41"/>
              <w:rPr>
                <w:color w:val="auto"/>
                <w:szCs w:val="18"/>
                <w:highlight w:val="none"/>
              </w:rPr>
            </w:pPr>
            <w:r>
              <w:rPr>
                <w:rFonts w:hint="eastAsia"/>
                <w:color w:val="auto"/>
                <w:szCs w:val="18"/>
                <w:highlight w:val="none"/>
              </w:rPr>
              <w:t>年均增长</w:t>
            </w:r>
            <w:r>
              <w:rPr>
                <w:color w:val="auto"/>
                <w:szCs w:val="18"/>
                <w:highlight w:val="none"/>
              </w:rPr>
              <w:t>/[</w:t>
            </w:r>
            <w:r>
              <w:rPr>
                <w:rFonts w:hint="eastAsia"/>
                <w:color w:val="auto"/>
                <w:szCs w:val="18"/>
                <w:highlight w:val="none"/>
              </w:rPr>
              <w:t>累计</w:t>
            </w:r>
            <w:r>
              <w:rPr>
                <w:color w:val="auto"/>
                <w:szCs w:val="18"/>
                <w:highlight w:val="none"/>
              </w:rPr>
              <w:t>]</w:t>
            </w:r>
          </w:p>
        </w:tc>
        <w:tc>
          <w:tcPr>
            <w:tcW w:w="1132" w:type="dxa"/>
            <w:vAlign w:val="center"/>
          </w:tcPr>
          <w:p w14:paraId="3B2CBA06">
            <w:pPr>
              <w:pStyle w:val="41"/>
              <w:rPr>
                <w:color w:val="auto"/>
                <w:szCs w:val="18"/>
                <w:highlight w:val="none"/>
              </w:rPr>
            </w:pPr>
            <w:r>
              <w:rPr>
                <w:rFonts w:hint="eastAsia"/>
                <w:color w:val="auto"/>
                <w:szCs w:val="18"/>
                <w:highlight w:val="none"/>
              </w:rPr>
              <w:t>指标属性</w:t>
            </w:r>
          </w:p>
        </w:tc>
      </w:tr>
      <w:tr w14:paraId="580B0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8" w:hRule="atLeast"/>
          <w:jc w:val="center"/>
        </w:trPr>
        <w:tc>
          <w:tcPr>
            <w:tcW w:w="4062" w:type="dxa"/>
            <w:shd w:val="clear" w:color="auto" w:fill="FFFFFF"/>
            <w:vAlign w:val="center"/>
          </w:tcPr>
          <w:p w14:paraId="575220CB">
            <w:pPr>
              <w:pStyle w:val="41"/>
              <w:jc w:val="left"/>
              <w:rPr>
                <w:color w:val="auto"/>
                <w:szCs w:val="18"/>
                <w:highlight w:val="none"/>
              </w:rPr>
            </w:pPr>
            <w:r>
              <w:rPr>
                <w:rFonts w:hint="eastAsia"/>
                <w:b/>
                <w:bCs/>
                <w:color w:val="auto"/>
                <w:szCs w:val="18"/>
                <w:highlight w:val="none"/>
              </w:rPr>
              <w:t>经济发展（</w:t>
            </w:r>
            <w:r>
              <w:rPr>
                <w:b/>
                <w:bCs/>
                <w:color w:val="auto"/>
                <w:szCs w:val="18"/>
                <w:highlight w:val="none"/>
              </w:rPr>
              <w:t>5</w:t>
            </w:r>
            <w:r>
              <w:rPr>
                <w:rFonts w:hint="eastAsia"/>
                <w:b/>
                <w:bCs/>
                <w:color w:val="auto"/>
                <w:szCs w:val="18"/>
                <w:highlight w:val="none"/>
              </w:rPr>
              <w:t>项）</w:t>
            </w:r>
          </w:p>
        </w:tc>
        <w:tc>
          <w:tcPr>
            <w:tcW w:w="1214" w:type="dxa"/>
            <w:shd w:val="clear" w:color="auto" w:fill="FFFFFF"/>
            <w:vAlign w:val="center"/>
          </w:tcPr>
          <w:p w14:paraId="44639F3D">
            <w:pPr>
              <w:pStyle w:val="41"/>
              <w:jc w:val="left"/>
              <w:rPr>
                <w:b/>
                <w:bCs/>
                <w:color w:val="auto"/>
                <w:szCs w:val="18"/>
                <w:highlight w:val="none"/>
              </w:rPr>
            </w:pPr>
          </w:p>
        </w:tc>
        <w:tc>
          <w:tcPr>
            <w:tcW w:w="1152" w:type="dxa"/>
            <w:shd w:val="clear" w:color="auto" w:fill="FFFFFF"/>
            <w:vAlign w:val="center"/>
          </w:tcPr>
          <w:p w14:paraId="576BE614">
            <w:pPr>
              <w:pStyle w:val="41"/>
              <w:jc w:val="left"/>
              <w:rPr>
                <w:b/>
                <w:bCs/>
                <w:color w:val="auto"/>
                <w:szCs w:val="18"/>
                <w:highlight w:val="none"/>
              </w:rPr>
            </w:pPr>
          </w:p>
        </w:tc>
        <w:tc>
          <w:tcPr>
            <w:tcW w:w="996" w:type="dxa"/>
            <w:shd w:val="clear" w:color="auto" w:fill="FFFFFF"/>
            <w:vAlign w:val="center"/>
          </w:tcPr>
          <w:p w14:paraId="53456417">
            <w:pPr>
              <w:pStyle w:val="41"/>
              <w:jc w:val="left"/>
              <w:rPr>
                <w:b/>
                <w:bCs/>
                <w:color w:val="auto"/>
                <w:szCs w:val="18"/>
                <w:highlight w:val="none"/>
              </w:rPr>
            </w:pPr>
          </w:p>
        </w:tc>
        <w:tc>
          <w:tcPr>
            <w:tcW w:w="1132" w:type="dxa"/>
            <w:shd w:val="clear" w:color="auto" w:fill="FFFFFF"/>
            <w:vAlign w:val="center"/>
          </w:tcPr>
          <w:p w14:paraId="0047E3EE">
            <w:pPr>
              <w:pStyle w:val="41"/>
              <w:rPr>
                <w:b/>
                <w:bCs/>
                <w:color w:val="auto"/>
                <w:szCs w:val="18"/>
                <w:highlight w:val="none"/>
              </w:rPr>
            </w:pPr>
          </w:p>
        </w:tc>
      </w:tr>
      <w:tr w14:paraId="60169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7" w:hRule="atLeast"/>
          <w:jc w:val="center"/>
        </w:trPr>
        <w:tc>
          <w:tcPr>
            <w:tcW w:w="4062" w:type="dxa"/>
            <w:shd w:val="clear" w:color="auto" w:fill="FFFFFF"/>
            <w:vAlign w:val="center"/>
          </w:tcPr>
          <w:p w14:paraId="7CBA1B4A">
            <w:pPr>
              <w:pStyle w:val="41"/>
              <w:jc w:val="both"/>
              <w:rPr>
                <w:color w:val="auto"/>
                <w:szCs w:val="18"/>
                <w:highlight w:val="none"/>
              </w:rPr>
            </w:pPr>
            <w:r>
              <w:rPr>
                <w:color w:val="auto"/>
                <w:szCs w:val="18"/>
                <w:highlight w:val="none"/>
                <w:lang w:val="zh-TW"/>
              </w:rPr>
              <w:t>1.</w:t>
            </w:r>
            <w:r>
              <w:rPr>
                <w:rFonts w:hint="eastAsia"/>
                <w:color w:val="auto"/>
                <w:szCs w:val="18"/>
                <w:highlight w:val="none"/>
                <w:lang w:val="zh-TW"/>
              </w:rPr>
              <w:t>地区</w:t>
            </w:r>
            <w:r>
              <w:rPr>
                <w:rFonts w:hint="eastAsia"/>
                <w:color w:val="auto"/>
                <w:szCs w:val="18"/>
                <w:highlight w:val="none"/>
                <w:lang w:val="zh-TW" w:eastAsia="zh-TW"/>
              </w:rPr>
              <w:t>生产总值增长（</w:t>
            </w:r>
            <w:r>
              <w:rPr>
                <w:color w:val="auto"/>
                <w:szCs w:val="18"/>
                <w:highlight w:val="none"/>
                <w:lang w:val="zh-TW" w:eastAsia="zh-TW"/>
              </w:rPr>
              <w:t>%</w:t>
            </w:r>
            <w:r>
              <w:rPr>
                <w:rFonts w:hint="eastAsia"/>
                <w:color w:val="auto"/>
                <w:szCs w:val="18"/>
                <w:highlight w:val="none"/>
                <w:lang w:val="zh-TW" w:eastAsia="zh-TW"/>
              </w:rPr>
              <w:t>）</w:t>
            </w:r>
          </w:p>
        </w:tc>
        <w:tc>
          <w:tcPr>
            <w:tcW w:w="1214" w:type="dxa"/>
            <w:vAlign w:val="center"/>
          </w:tcPr>
          <w:p w14:paraId="290F7519">
            <w:pPr>
              <w:pStyle w:val="41"/>
              <w:rPr>
                <w:color w:val="auto"/>
                <w:szCs w:val="18"/>
                <w:highlight w:val="none"/>
              </w:rPr>
            </w:pPr>
            <w:r>
              <w:rPr>
                <w:color w:val="auto"/>
                <w:szCs w:val="18"/>
                <w:highlight w:val="none"/>
              </w:rPr>
              <w:t>4.2</w:t>
            </w:r>
          </w:p>
        </w:tc>
        <w:tc>
          <w:tcPr>
            <w:tcW w:w="1152" w:type="dxa"/>
            <w:vAlign w:val="center"/>
          </w:tcPr>
          <w:p w14:paraId="50685787">
            <w:pPr>
              <w:pStyle w:val="41"/>
              <w:rPr>
                <w:color w:val="auto"/>
                <w:szCs w:val="18"/>
                <w:highlight w:val="none"/>
              </w:rPr>
            </w:pPr>
            <w:r>
              <w:rPr>
                <w:rFonts w:hint="eastAsia"/>
                <w:color w:val="auto"/>
                <w:szCs w:val="18"/>
                <w:highlight w:val="none"/>
                <w:lang w:eastAsia="zh-CN"/>
              </w:rPr>
              <w:t>—</w:t>
            </w:r>
          </w:p>
        </w:tc>
        <w:tc>
          <w:tcPr>
            <w:tcW w:w="996" w:type="dxa"/>
            <w:vAlign w:val="center"/>
          </w:tcPr>
          <w:p w14:paraId="5E01D30A">
            <w:pPr>
              <w:pStyle w:val="41"/>
              <w:rPr>
                <w:color w:val="auto"/>
                <w:szCs w:val="18"/>
                <w:highlight w:val="none"/>
              </w:rPr>
            </w:pPr>
            <w:r>
              <w:rPr>
                <w:color w:val="auto"/>
                <w:szCs w:val="18"/>
                <w:highlight w:val="none"/>
              </w:rPr>
              <w:t>6</w:t>
            </w:r>
            <w:r>
              <w:rPr>
                <w:rFonts w:hint="eastAsia"/>
                <w:color w:val="auto"/>
                <w:szCs w:val="18"/>
                <w:highlight w:val="none"/>
                <w:lang w:val="en-US" w:eastAsia="zh-CN"/>
              </w:rPr>
              <w:t>.5</w:t>
            </w:r>
            <w:r>
              <w:rPr>
                <w:rFonts w:hint="eastAsia"/>
                <w:color w:val="auto"/>
                <w:szCs w:val="18"/>
                <w:highlight w:val="none"/>
              </w:rPr>
              <w:t>左右</w:t>
            </w:r>
          </w:p>
        </w:tc>
        <w:tc>
          <w:tcPr>
            <w:tcW w:w="1132" w:type="dxa"/>
            <w:vAlign w:val="center"/>
          </w:tcPr>
          <w:p w14:paraId="772706D5">
            <w:pPr>
              <w:pStyle w:val="41"/>
              <w:rPr>
                <w:color w:val="auto"/>
                <w:szCs w:val="18"/>
                <w:highlight w:val="none"/>
              </w:rPr>
            </w:pPr>
            <w:r>
              <w:rPr>
                <w:rFonts w:hint="eastAsia"/>
                <w:color w:val="auto"/>
                <w:szCs w:val="18"/>
                <w:highlight w:val="none"/>
              </w:rPr>
              <w:t>预期性</w:t>
            </w:r>
          </w:p>
        </w:tc>
      </w:tr>
      <w:tr w14:paraId="10719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86" w:hRule="atLeast"/>
          <w:jc w:val="center"/>
        </w:trPr>
        <w:tc>
          <w:tcPr>
            <w:tcW w:w="4062" w:type="dxa"/>
            <w:shd w:val="clear" w:color="auto" w:fill="FFFFFF"/>
            <w:vAlign w:val="center"/>
          </w:tcPr>
          <w:p w14:paraId="45203C00">
            <w:pPr>
              <w:pStyle w:val="41"/>
              <w:jc w:val="left"/>
              <w:rPr>
                <w:color w:val="auto"/>
                <w:szCs w:val="18"/>
                <w:highlight w:val="none"/>
              </w:rPr>
            </w:pPr>
            <w:r>
              <w:rPr>
                <w:color w:val="auto"/>
                <w:szCs w:val="18"/>
                <w:highlight w:val="none"/>
              </w:rPr>
              <w:t>2.</w:t>
            </w:r>
            <w:r>
              <w:rPr>
                <w:rFonts w:hint="eastAsia"/>
                <w:color w:val="auto"/>
                <w:szCs w:val="18"/>
                <w:highlight w:val="none"/>
              </w:rPr>
              <w:t>规模以上工业增加值增长（</w:t>
            </w:r>
            <w:r>
              <w:rPr>
                <w:color w:val="auto"/>
                <w:szCs w:val="18"/>
                <w:highlight w:val="none"/>
              </w:rPr>
              <w:t>%</w:t>
            </w:r>
            <w:r>
              <w:rPr>
                <w:rFonts w:hint="eastAsia"/>
                <w:color w:val="auto"/>
                <w:szCs w:val="18"/>
                <w:highlight w:val="none"/>
              </w:rPr>
              <w:t>）</w:t>
            </w:r>
          </w:p>
        </w:tc>
        <w:tc>
          <w:tcPr>
            <w:tcW w:w="1214" w:type="dxa"/>
            <w:vAlign w:val="center"/>
          </w:tcPr>
          <w:p w14:paraId="5C7A0320">
            <w:pPr>
              <w:pStyle w:val="41"/>
              <w:rPr>
                <w:rFonts w:hint="default" w:eastAsia="宋体"/>
                <w:color w:val="auto"/>
                <w:szCs w:val="18"/>
                <w:highlight w:val="none"/>
                <w:lang w:val="en-US" w:eastAsia="zh-CN"/>
              </w:rPr>
            </w:pPr>
            <w:r>
              <w:rPr>
                <w:rFonts w:hint="eastAsia"/>
                <w:color w:val="auto"/>
                <w:szCs w:val="18"/>
                <w:highlight w:val="none"/>
                <w:lang w:val="en-US" w:eastAsia="zh-CN"/>
              </w:rPr>
              <w:t>8.5</w:t>
            </w:r>
          </w:p>
        </w:tc>
        <w:tc>
          <w:tcPr>
            <w:tcW w:w="1152" w:type="dxa"/>
            <w:vAlign w:val="center"/>
          </w:tcPr>
          <w:p w14:paraId="7FF4820A">
            <w:pPr>
              <w:pStyle w:val="41"/>
              <w:rPr>
                <w:color w:val="auto"/>
                <w:szCs w:val="18"/>
                <w:highlight w:val="none"/>
              </w:rPr>
            </w:pPr>
            <w:r>
              <w:rPr>
                <w:rFonts w:hint="eastAsia"/>
                <w:color w:val="auto"/>
                <w:szCs w:val="18"/>
                <w:highlight w:val="none"/>
                <w:lang w:eastAsia="zh-CN"/>
              </w:rPr>
              <w:t>—</w:t>
            </w:r>
          </w:p>
        </w:tc>
        <w:tc>
          <w:tcPr>
            <w:tcW w:w="996" w:type="dxa"/>
            <w:vAlign w:val="center"/>
          </w:tcPr>
          <w:p w14:paraId="755FD0D4">
            <w:pPr>
              <w:pStyle w:val="41"/>
              <w:rPr>
                <w:rFonts w:hint="eastAsia" w:eastAsia="宋体"/>
                <w:color w:val="auto"/>
                <w:szCs w:val="18"/>
                <w:highlight w:val="none"/>
                <w:lang w:eastAsia="zh-CN"/>
              </w:rPr>
            </w:pPr>
            <w:r>
              <w:rPr>
                <w:rFonts w:hint="eastAsia"/>
                <w:color w:val="auto"/>
                <w:szCs w:val="18"/>
                <w:highlight w:val="none"/>
                <w:lang w:val="en-US" w:eastAsia="zh-CN"/>
              </w:rPr>
              <w:t>7</w:t>
            </w:r>
            <w:r>
              <w:rPr>
                <w:rFonts w:hint="eastAsia"/>
                <w:color w:val="auto"/>
                <w:szCs w:val="18"/>
                <w:highlight w:val="none"/>
                <w:lang w:eastAsia="zh-CN"/>
              </w:rPr>
              <w:t>以上</w:t>
            </w:r>
          </w:p>
        </w:tc>
        <w:tc>
          <w:tcPr>
            <w:tcW w:w="1132" w:type="dxa"/>
            <w:vAlign w:val="center"/>
          </w:tcPr>
          <w:p w14:paraId="5064E9A9">
            <w:pPr>
              <w:pStyle w:val="41"/>
              <w:rPr>
                <w:color w:val="auto"/>
                <w:szCs w:val="18"/>
                <w:highlight w:val="none"/>
              </w:rPr>
            </w:pPr>
            <w:r>
              <w:rPr>
                <w:rFonts w:hint="eastAsia"/>
                <w:color w:val="auto"/>
                <w:szCs w:val="18"/>
                <w:highlight w:val="none"/>
              </w:rPr>
              <w:t>预期性</w:t>
            </w:r>
          </w:p>
        </w:tc>
      </w:tr>
      <w:tr w14:paraId="35BDF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8" w:hRule="atLeast"/>
          <w:jc w:val="center"/>
        </w:trPr>
        <w:tc>
          <w:tcPr>
            <w:tcW w:w="4062" w:type="dxa"/>
            <w:shd w:val="clear" w:color="auto" w:fill="FFFFFF"/>
            <w:vAlign w:val="center"/>
          </w:tcPr>
          <w:p w14:paraId="0210DB3D">
            <w:pPr>
              <w:pStyle w:val="41"/>
              <w:jc w:val="left"/>
              <w:rPr>
                <w:color w:val="auto"/>
                <w:szCs w:val="18"/>
                <w:highlight w:val="none"/>
              </w:rPr>
            </w:pPr>
            <w:r>
              <w:rPr>
                <w:color w:val="auto"/>
                <w:szCs w:val="18"/>
                <w:highlight w:val="none"/>
              </w:rPr>
              <w:t>3.</w:t>
            </w:r>
            <w:r>
              <w:rPr>
                <w:rFonts w:hint="eastAsia"/>
                <w:color w:val="auto"/>
                <w:szCs w:val="18"/>
                <w:highlight w:val="none"/>
              </w:rPr>
              <w:t>人均</w:t>
            </w:r>
            <w:r>
              <w:rPr>
                <w:rFonts w:hint="eastAsia"/>
                <w:color w:val="auto"/>
                <w:szCs w:val="18"/>
                <w:highlight w:val="none"/>
                <w:lang w:val="zh-TW"/>
              </w:rPr>
              <w:t>地区</w:t>
            </w:r>
            <w:r>
              <w:rPr>
                <w:rFonts w:hint="eastAsia"/>
                <w:color w:val="auto"/>
                <w:szCs w:val="18"/>
                <w:highlight w:val="none"/>
                <w:lang w:val="zh-TW" w:eastAsia="zh-TW"/>
              </w:rPr>
              <w:t>生产总值增长（</w:t>
            </w:r>
            <w:r>
              <w:rPr>
                <w:color w:val="auto"/>
                <w:szCs w:val="18"/>
                <w:highlight w:val="none"/>
                <w:lang w:val="zh-TW" w:eastAsia="zh-TW"/>
              </w:rPr>
              <w:t>%</w:t>
            </w:r>
            <w:r>
              <w:rPr>
                <w:rFonts w:hint="eastAsia"/>
                <w:color w:val="auto"/>
                <w:szCs w:val="18"/>
                <w:highlight w:val="none"/>
                <w:lang w:val="zh-TW" w:eastAsia="zh-TW"/>
              </w:rPr>
              <w:t>）</w:t>
            </w:r>
          </w:p>
        </w:tc>
        <w:tc>
          <w:tcPr>
            <w:tcW w:w="1214" w:type="dxa"/>
            <w:vAlign w:val="center"/>
          </w:tcPr>
          <w:p w14:paraId="478CADF7">
            <w:pPr>
              <w:pStyle w:val="41"/>
              <w:rPr>
                <w:rFonts w:hint="eastAsia" w:ascii="Times New Roman" w:hAnsi="Times New Roman" w:eastAsia="宋体" w:cs="Times New Roman"/>
                <w:color w:val="auto"/>
                <w:kern w:val="2"/>
                <w:sz w:val="18"/>
                <w:szCs w:val="18"/>
                <w:highlight w:val="none"/>
                <w:lang w:val="en-US" w:eastAsia="zh-CN" w:bidi="ar-SA"/>
              </w:rPr>
            </w:pPr>
            <w:r>
              <w:rPr>
                <w:rFonts w:hint="eastAsia"/>
                <w:color w:val="auto"/>
                <w:szCs w:val="18"/>
                <w:highlight w:val="none"/>
                <w:lang w:eastAsia="zh-CN"/>
              </w:rPr>
              <w:t>—</w:t>
            </w:r>
          </w:p>
        </w:tc>
        <w:tc>
          <w:tcPr>
            <w:tcW w:w="1152" w:type="dxa"/>
            <w:vAlign w:val="center"/>
          </w:tcPr>
          <w:p w14:paraId="3638CD11">
            <w:pPr>
              <w:pStyle w:val="41"/>
              <w:rPr>
                <w:color w:val="auto"/>
                <w:szCs w:val="18"/>
                <w:highlight w:val="none"/>
              </w:rPr>
            </w:pPr>
            <w:r>
              <w:rPr>
                <w:rFonts w:hint="eastAsia"/>
                <w:color w:val="auto"/>
                <w:szCs w:val="18"/>
                <w:highlight w:val="none"/>
                <w:lang w:eastAsia="zh-CN"/>
              </w:rPr>
              <w:t>—</w:t>
            </w:r>
          </w:p>
        </w:tc>
        <w:tc>
          <w:tcPr>
            <w:tcW w:w="996" w:type="dxa"/>
            <w:vAlign w:val="center"/>
          </w:tcPr>
          <w:p w14:paraId="0982C8F6">
            <w:pPr>
              <w:pStyle w:val="41"/>
              <w:rPr>
                <w:color w:val="auto"/>
                <w:szCs w:val="18"/>
                <w:highlight w:val="none"/>
              </w:rPr>
            </w:pPr>
            <w:r>
              <w:rPr>
                <w:rFonts w:hint="eastAsia"/>
                <w:color w:val="auto"/>
                <w:szCs w:val="18"/>
                <w:highlight w:val="none"/>
                <w:lang w:val="en-US" w:eastAsia="zh-CN"/>
              </w:rPr>
              <w:t>6</w:t>
            </w:r>
            <w:r>
              <w:rPr>
                <w:rFonts w:hint="eastAsia"/>
                <w:color w:val="auto"/>
                <w:szCs w:val="18"/>
                <w:highlight w:val="none"/>
              </w:rPr>
              <w:t>左右</w:t>
            </w:r>
          </w:p>
        </w:tc>
        <w:tc>
          <w:tcPr>
            <w:tcW w:w="1132" w:type="dxa"/>
            <w:vAlign w:val="center"/>
          </w:tcPr>
          <w:p w14:paraId="34262CD2">
            <w:pPr>
              <w:pStyle w:val="41"/>
              <w:rPr>
                <w:color w:val="auto"/>
                <w:szCs w:val="18"/>
                <w:highlight w:val="none"/>
              </w:rPr>
            </w:pPr>
            <w:r>
              <w:rPr>
                <w:rFonts w:hint="eastAsia"/>
                <w:color w:val="auto"/>
                <w:szCs w:val="18"/>
                <w:highlight w:val="none"/>
              </w:rPr>
              <w:t>预期性</w:t>
            </w:r>
          </w:p>
        </w:tc>
      </w:tr>
      <w:tr w14:paraId="41C45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8" w:hRule="atLeast"/>
          <w:jc w:val="center"/>
        </w:trPr>
        <w:tc>
          <w:tcPr>
            <w:tcW w:w="4062" w:type="dxa"/>
            <w:shd w:val="clear" w:color="auto" w:fill="FFFFFF"/>
            <w:vAlign w:val="center"/>
          </w:tcPr>
          <w:p w14:paraId="7B85E871">
            <w:pPr>
              <w:pStyle w:val="41"/>
              <w:jc w:val="left"/>
              <w:rPr>
                <w:color w:val="auto"/>
                <w:szCs w:val="18"/>
                <w:highlight w:val="none"/>
              </w:rPr>
            </w:pPr>
            <w:r>
              <w:rPr>
                <w:color w:val="auto"/>
                <w:szCs w:val="18"/>
                <w:highlight w:val="none"/>
              </w:rPr>
              <w:t>4</w:t>
            </w:r>
            <w:r>
              <w:rPr>
                <w:color w:val="auto"/>
                <w:szCs w:val="18"/>
                <w:highlight w:val="none"/>
                <w:lang w:val="zh-TW" w:eastAsia="zh-TW"/>
              </w:rPr>
              <w:t>.</w:t>
            </w:r>
            <w:r>
              <w:rPr>
                <w:rFonts w:hint="eastAsia"/>
                <w:color w:val="auto"/>
                <w:szCs w:val="18"/>
                <w:highlight w:val="none"/>
                <w:lang w:val="zh-TW" w:eastAsia="zh-TW"/>
              </w:rPr>
              <w:t>全员劳动生产率</w:t>
            </w:r>
            <w:r>
              <w:rPr>
                <w:rFonts w:hint="eastAsia"/>
                <w:color w:val="auto"/>
                <w:szCs w:val="18"/>
                <w:highlight w:val="none"/>
              </w:rPr>
              <w:t>增长</w:t>
            </w:r>
            <w:r>
              <w:rPr>
                <w:rFonts w:hint="eastAsia"/>
                <w:color w:val="auto"/>
                <w:szCs w:val="18"/>
                <w:highlight w:val="none"/>
                <w:lang w:val="zh-TW" w:eastAsia="zh-TW"/>
              </w:rPr>
              <w:t>（</w:t>
            </w:r>
            <w:r>
              <w:rPr>
                <w:color w:val="auto"/>
                <w:szCs w:val="18"/>
                <w:highlight w:val="none"/>
                <w:lang w:val="zh-TW" w:eastAsia="zh-TW"/>
              </w:rPr>
              <w:t>%</w:t>
            </w:r>
            <w:r>
              <w:rPr>
                <w:rFonts w:hint="eastAsia"/>
                <w:color w:val="auto"/>
                <w:szCs w:val="18"/>
                <w:highlight w:val="none"/>
                <w:lang w:val="zh-TW" w:eastAsia="zh-TW"/>
              </w:rPr>
              <w:t>）</w:t>
            </w:r>
          </w:p>
        </w:tc>
        <w:tc>
          <w:tcPr>
            <w:tcW w:w="1214" w:type="dxa"/>
            <w:vAlign w:val="center"/>
          </w:tcPr>
          <w:p w14:paraId="33EFE913">
            <w:pPr>
              <w:pStyle w:val="41"/>
              <w:jc w:val="center"/>
              <w:rPr>
                <w:rFonts w:ascii="Times New Roman" w:hAnsi="Times New Roman" w:eastAsia="宋体" w:cs="Times New Roman"/>
                <w:color w:val="auto"/>
                <w:kern w:val="2"/>
                <w:sz w:val="18"/>
                <w:szCs w:val="18"/>
                <w:highlight w:val="none"/>
                <w:lang w:val="zh-TW" w:eastAsia="zh-CN" w:bidi="ar-SA"/>
              </w:rPr>
            </w:pPr>
            <w:r>
              <w:rPr>
                <w:rFonts w:hint="eastAsia"/>
                <w:color w:val="auto"/>
                <w:szCs w:val="18"/>
                <w:highlight w:val="none"/>
                <w:lang w:eastAsia="zh-CN"/>
              </w:rPr>
              <w:t>—</w:t>
            </w:r>
          </w:p>
        </w:tc>
        <w:tc>
          <w:tcPr>
            <w:tcW w:w="1152" w:type="dxa"/>
            <w:vAlign w:val="center"/>
          </w:tcPr>
          <w:p w14:paraId="1FE9AD16">
            <w:pPr>
              <w:pStyle w:val="41"/>
              <w:jc w:val="center"/>
              <w:rPr>
                <w:color w:val="auto"/>
                <w:szCs w:val="18"/>
                <w:highlight w:val="none"/>
              </w:rPr>
            </w:pPr>
            <w:r>
              <w:rPr>
                <w:rFonts w:hint="eastAsia"/>
                <w:color w:val="auto"/>
                <w:szCs w:val="18"/>
                <w:highlight w:val="none"/>
                <w:lang w:eastAsia="zh-CN"/>
              </w:rPr>
              <w:t>—</w:t>
            </w:r>
          </w:p>
        </w:tc>
        <w:tc>
          <w:tcPr>
            <w:tcW w:w="996" w:type="dxa"/>
            <w:vAlign w:val="center"/>
          </w:tcPr>
          <w:p w14:paraId="47503319">
            <w:pPr>
              <w:pStyle w:val="41"/>
              <w:rPr>
                <w:color w:val="auto"/>
                <w:szCs w:val="18"/>
                <w:highlight w:val="none"/>
              </w:rPr>
            </w:pPr>
            <w:r>
              <w:rPr>
                <w:color w:val="auto"/>
                <w:szCs w:val="18"/>
                <w:highlight w:val="none"/>
              </w:rPr>
              <w:t>6</w:t>
            </w:r>
            <w:r>
              <w:rPr>
                <w:rFonts w:hint="eastAsia"/>
                <w:color w:val="auto"/>
                <w:szCs w:val="18"/>
                <w:highlight w:val="none"/>
              </w:rPr>
              <w:t>左右</w:t>
            </w:r>
          </w:p>
        </w:tc>
        <w:tc>
          <w:tcPr>
            <w:tcW w:w="1132" w:type="dxa"/>
            <w:vAlign w:val="center"/>
          </w:tcPr>
          <w:p w14:paraId="350CDB03">
            <w:pPr>
              <w:pStyle w:val="41"/>
              <w:rPr>
                <w:color w:val="auto"/>
                <w:szCs w:val="18"/>
                <w:highlight w:val="none"/>
              </w:rPr>
            </w:pPr>
            <w:r>
              <w:rPr>
                <w:rFonts w:hint="eastAsia"/>
                <w:color w:val="auto"/>
                <w:szCs w:val="18"/>
                <w:highlight w:val="none"/>
              </w:rPr>
              <w:t>预期性</w:t>
            </w:r>
          </w:p>
        </w:tc>
      </w:tr>
      <w:tr w14:paraId="1FF5F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8" w:hRule="atLeast"/>
          <w:jc w:val="center"/>
        </w:trPr>
        <w:tc>
          <w:tcPr>
            <w:tcW w:w="4062" w:type="dxa"/>
            <w:shd w:val="clear" w:color="auto" w:fill="FFFFFF"/>
            <w:vAlign w:val="center"/>
          </w:tcPr>
          <w:p w14:paraId="77C3FB0D">
            <w:pPr>
              <w:pStyle w:val="41"/>
              <w:jc w:val="left"/>
              <w:rPr>
                <w:color w:val="auto"/>
                <w:szCs w:val="18"/>
                <w:highlight w:val="none"/>
                <w:lang w:val="zh-TW"/>
              </w:rPr>
            </w:pPr>
            <w:r>
              <w:rPr>
                <w:color w:val="auto"/>
                <w:szCs w:val="18"/>
                <w:highlight w:val="none"/>
              </w:rPr>
              <w:t>5.</w:t>
            </w:r>
            <w:r>
              <w:rPr>
                <w:rFonts w:hint="eastAsia"/>
                <w:color w:val="auto"/>
                <w:szCs w:val="18"/>
                <w:highlight w:val="none"/>
                <w:lang w:val="zh-TW" w:eastAsia="zh-TW"/>
              </w:rPr>
              <w:t>常住人口城镇化率（</w:t>
            </w:r>
            <w:r>
              <w:rPr>
                <w:color w:val="auto"/>
                <w:szCs w:val="18"/>
                <w:highlight w:val="none"/>
                <w:lang w:val="zh-TW" w:eastAsia="zh-TW"/>
              </w:rPr>
              <w:t>%</w:t>
            </w:r>
            <w:r>
              <w:rPr>
                <w:rFonts w:hint="eastAsia"/>
                <w:color w:val="auto"/>
                <w:szCs w:val="18"/>
                <w:highlight w:val="none"/>
                <w:lang w:val="zh-TW" w:eastAsia="zh-TW"/>
              </w:rPr>
              <w:t>）</w:t>
            </w:r>
          </w:p>
        </w:tc>
        <w:tc>
          <w:tcPr>
            <w:tcW w:w="1214" w:type="dxa"/>
            <w:vAlign w:val="center"/>
          </w:tcPr>
          <w:p w14:paraId="55ED6D4C">
            <w:pPr>
              <w:pStyle w:val="41"/>
              <w:rPr>
                <w:rFonts w:hint="default"/>
                <w:color w:val="auto"/>
                <w:szCs w:val="18"/>
                <w:highlight w:val="none"/>
                <w:lang w:val="en-US"/>
              </w:rPr>
            </w:pPr>
            <w:r>
              <w:rPr>
                <w:rFonts w:hint="eastAsia"/>
                <w:color w:val="auto"/>
                <w:szCs w:val="18"/>
                <w:highlight w:val="none"/>
                <w:lang w:val="en-US" w:eastAsia="zh-CN"/>
              </w:rPr>
              <w:t>62左右</w:t>
            </w:r>
          </w:p>
        </w:tc>
        <w:tc>
          <w:tcPr>
            <w:tcW w:w="1152" w:type="dxa"/>
            <w:vAlign w:val="center"/>
          </w:tcPr>
          <w:p w14:paraId="03B0DA9F">
            <w:pPr>
              <w:pStyle w:val="41"/>
              <w:rPr>
                <w:rFonts w:hint="eastAsia" w:eastAsia="宋体"/>
                <w:color w:val="auto"/>
                <w:szCs w:val="18"/>
                <w:highlight w:val="none"/>
                <w:lang w:eastAsia="zh-CN"/>
              </w:rPr>
            </w:pPr>
            <w:r>
              <w:rPr>
                <w:color w:val="auto"/>
                <w:szCs w:val="18"/>
                <w:highlight w:val="none"/>
              </w:rPr>
              <w:t>68</w:t>
            </w:r>
            <w:r>
              <w:rPr>
                <w:rFonts w:hint="eastAsia"/>
                <w:color w:val="auto"/>
                <w:szCs w:val="18"/>
                <w:highlight w:val="none"/>
                <w:lang w:eastAsia="zh-CN"/>
              </w:rPr>
              <w:t>左右</w:t>
            </w:r>
          </w:p>
        </w:tc>
        <w:tc>
          <w:tcPr>
            <w:tcW w:w="996" w:type="dxa"/>
            <w:vAlign w:val="center"/>
          </w:tcPr>
          <w:p w14:paraId="7A290A0F">
            <w:pPr>
              <w:pStyle w:val="41"/>
              <w:rPr>
                <w:color w:val="auto"/>
                <w:szCs w:val="18"/>
                <w:highlight w:val="none"/>
              </w:rPr>
            </w:pPr>
            <w:r>
              <w:rPr>
                <w:color w:val="auto"/>
                <w:szCs w:val="18"/>
                <w:highlight w:val="none"/>
              </w:rPr>
              <w:t>[ 6 ]</w:t>
            </w:r>
          </w:p>
        </w:tc>
        <w:tc>
          <w:tcPr>
            <w:tcW w:w="1132" w:type="dxa"/>
            <w:vAlign w:val="center"/>
          </w:tcPr>
          <w:p w14:paraId="491B3A53">
            <w:pPr>
              <w:pStyle w:val="41"/>
              <w:rPr>
                <w:color w:val="auto"/>
                <w:szCs w:val="18"/>
                <w:highlight w:val="none"/>
              </w:rPr>
            </w:pPr>
            <w:r>
              <w:rPr>
                <w:rFonts w:hint="eastAsia"/>
                <w:color w:val="auto"/>
                <w:szCs w:val="18"/>
                <w:highlight w:val="none"/>
              </w:rPr>
              <w:t>预期性</w:t>
            </w:r>
          </w:p>
        </w:tc>
      </w:tr>
      <w:tr w14:paraId="10068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8" w:hRule="atLeast"/>
          <w:jc w:val="center"/>
        </w:trPr>
        <w:tc>
          <w:tcPr>
            <w:tcW w:w="4062" w:type="dxa"/>
            <w:vAlign w:val="center"/>
          </w:tcPr>
          <w:p w14:paraId="1DC22D45">
            <w:pPr>
              <w:pStyle w:val="41"/>
              <w:jc w:val="left"/>
              <w:rPr>
                <w:color w:val="auto"/>
                <w:szCs w:val="18"/>
                <w:highlight w:val="none"/>
              </w:rPr>
            </w:pPr>
            <w:r>
              <w:rPr>
                <w:rFonts w:hint="eastAsia"/>
                <w:b/>
                <w:bCs/>
                <w:color w:val="auto"/>
                <w:szCs w:val="18"/>
                <w:highlight w:val="none"/>
              </w:rPr>
              <w:t>创新驱动（</w:t>
            </w:r>
            <w:r>
              <w:rPr>
                <w:b/>
                <w:bCs/>
                <w:color w:val="auto"/>
                <w:szCs w:val="18"/>
                <w:highlight w:val="none"/>
              </w:rPr>
              <w:t>4</w:t>
            </w:r>
            <w:r>
              <w:rPr>
                <w:rFonts w:hint="eastAsia"/>
                <w:b/>
                <w:bCs/>
                <w:color w:val="auto"/>
                <w:szCs w:val="18"/>
                <w:highlight w:val="none"/>
              </w:rPr>
              <w:t>项）</w:t>
            </w:r>
          </w:p>
        </w:tc>
        <w:tc>
          <w:tcPr>
            <w:tcW w:w="1214" w:type="dxa"/>
            <w:vAlign w:val="center"/>
          </w:tcPr>
          <w:p w14:paraId="569ED253">
            <w:pPr>
              <w:pStyle w:val="41"/>
              <w:rPr>
                <w:b/>
                <w:bCs/>
                <w:color w:val="auto"/>
                <w:szCs w:val="18"/>
                <w:highlight w:val="none"/>
              </w:rPr>
            </w:pPr>
          </w:p>
        </w:tc>
        <w:tc>
          <w:tcPr>
            <w:tcW w:w="1152" w:type="dxa"/>
            <w:vAlign w:val="center"/>
          </w:tcPr>
          <w:p w14:paraId="55DD6302">
            <w:pPr>
              <w:pStyle w:val="41"/>
              <w:rPr>
                <w:b/>
                <w:bCs/>
                <w:color w:val="auto"/>
                <w:szCs w:val="18"/>
                <w:highlight w:val="none"/>
              </w:rPr>
            </w:pPr>
          </w:p>
        </w:tc>
        <w:tc>
          <w:tcPr>
            <w:tcW w:w="996" w:type="dxa"/>
            <w:vAlign w:val="center"/>
          </w:tcPr>
          <w:p w14:paraId="69482AA0">
            <w:pPr>
              <w:pStyle w:val="41"/>
              <w:rPr>
                <w:b/>
                <w:bCs/>
                <w:color w:val="auto"/>
                <w:szCs w:val="18"/>
                <w:highlight w:val="none"/>
              </w:rPr>
            </w:pPr>
          </w:p>
        </w:tc>
        <w:tc>
          <w:tcPr>
            <w:tcW w:w="1132" w:type="dxa"/>
            <w:vAlign w:val="center"/>
          </w:tcPr>
          <w:p w14:paraId="45C711E5">
            <w:pPr>
              <w:pStyle w:val="41"/>
              <w:rPr>
                <w:b/>
                <w:bCs/>
                <w:color w:val="auto"/>
                <w:szCs w:val="18"/>
                <w:highlight w:val="none"/>
              </w:rPr>
            </w:pPr>
          </w:p>
        </w:tc>
      </w:tr>
      <w:tr w14:paraId="6EF71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8" w:hRule="atLeast"/>
          <w:jc w:val="center"/>
        </w:trPr>
        <w:tc>
          <w:tcPr>
            <w:tcW w:w="4062" w:type="dxa"/>
            <w:vAlign w:val="center"/>
          </w:tcPr>
          <w:p w14:paraId="7777B696">
            <w:pPr>
              <w:pStyle w:val="41"/>
              <w:jc w:val="left"/>
              <w:rPr>
                <w:color w:val="auto"/>
                <w:szCs w:val="18"/>
                <w:highlight w:val="none"/>
              </w:rPr>
            </w:pPr>
            <w:r>
              <w:rPr>
                <w:color w:val="auto"/>
                <w:szCs w:val="18"/>
                <w:highlight w:val="none"/>
              </w:rPr>
              <w:t>6</w:t>
            </w:r>
            <w:r>
              <w:rPr>
                <w:color w:val="auto"/>
                <w:szCs w:val="18"/>
                <w:highlight w:val="none"/>
                <w:lang w:val="zh-TW"/>
              </w:rPr>
              <w:t>.</w:t>
            </w:r>
            <w:r>
              <w:rPr>
                <w:rFonts w:hint="eastAsia"/>
                <w:color w:val="auto"/>
                <w:szCs w:val="18"/>
                <w:highlight w:val="none"/>
                <w:lang w:val="zh-TW" w:eastAsia="zh-CN"/>
              </w:rPr>
              <w:t>全社会研发</w:t>
            </w:r>
            <w:r>
              <w:rPr>
                <w:rFonts w:hint="eastAsia"/>
                <w:color w:val="auto"/>
                <w:szCs w:val="18"/>
                <w:highlight w:val="none"/>
              </w:rPr>
              <w:t>经费</w:t>
            </w:r>
            <w:r>
              <w:rPr>
                <w:rFonts w:hint="eastAsia"/>
                <w:color w:val="auto"/>
                <w:szCs w:val="18"/>
                <w:highlight w:val="none"/>
                <w:lang w:eastAsia="zh-CN"/>
              </w:rPr>
              <w:t>投入</w:t>
            </w:r>
            <w:r>
              <w:rPr>
                <w:rFonts w:hint="eastAsia"/>
                <w:color w:val="auto"/>
                <w:szCs w:val="18"/>
                <w:highlight w:val="none"/>
              </w:rPr>
              <w:t>增长</w:t>
            </w:r>
            <w:r>
              <w:rPr>
                <w:rFonts w:hint="eastAsia"/>
                <w:color w:val="auto"/>
                <w:szCs w:val="18"/>
                <w:highlight w:val="none"/>
                <w:lang w:val="zh-TW"/>
              </w:rPr>
              <w:t>（</w:t>
            </w:r>
            <w:r>
              <w:rPr>
                <w:color w:val="auto"/>
                <w:szCs w:val="18"/>
                <w:highlight w:val="none"/>
                <w:lang w:val="zh-TW"/>
              </w:rPr>
              <w:t>%</w:t>
            </w:r>
            <w:r>
              <w:rPr>
                <w:rFonts w:hint="eastAsia"/>
                <w:color w:val="auto"/>
                <w:szCs w:val="18"/>
                <w:highlight w:val="none"/>
                <w:lang w:val="zh-TW"/>
              </w:rPr>
              <w:t>）</w:t>
            </w:r>
          </w:p>
        </w:tc>
        <w:tc>
          <w:tcPr>
            <w:tcW w:w="1214" w:type="dxa"/>
            <w:vAlign w:val="center"/>
          </w:tcPr>
          <w:p w14:paraId="07813573">
            <w:pPr>
              <w:pStyle w:val="41"/>
              <w:rPr>
                <w:rFonts w:ascii="Times New Roman" w:hAnsi="Times New Roman" w:eastAsia="宋体" w:cs="Times New Roman"/>
                <w:color w:val="auto"/>
                <w:kern w:val="2"/>
                <w:sz w:val="18"/>
                <w:szCs w:val="18"/>
                <w:highlight w:val="none"/>
                <w:lang w:val="en-US" w:eastAsia="zh-CN" w:bidi="ar-SA"/>
              </w:rPr>
            </w:pPr>
            <w:r>
              <w:rPr>
                <w:rFonts w:hint="eastAsia"/>
                <w:color w:val="auto"/>
                <w:szCs w:val="18"/>
                <w:highlight w:val="none"/>
                <w:lang w:eastAsia="zh-CN"/>
              </w:rPr>
              <w:t>—</w:t>
            </w:r>
          </w:p>
        </w:tc>
        <w:tc>
          <w:tcPr>
            <w:tcW w:w="1152" w:type="dxa"/>
            <w:vAlign w:val="center"/>
          </w:tcPr>
          <w:p w14:paraId="08470D3A">
            <w:pPr>
              <w:pStyle w:val="41"/>
              <w:rPr>
                <w:color w:val="auto"/>
                <w:szCs w:val="18"/>
                <w:highlight w:val="none"/>
              </w:rPr>
            </w:pPr>
            <w:r>
              <w:rPr>
                <w:rFonts w:hint="eastAsia"/>
                <w:color w:val="auto"/>
                <w:szCs w:val="18"/>
                <w:highlight w:val="none"/>
                <w:lang w:eastAsia="zh-CN"/>
              </w:rPr>
              <w:t>—</w:t>
            </w:r>
          </w:p>
        </w:tc>
        <w:tc>
          <w:tcPr>
            <w:tcW w:w="996" w:type="dxa"/>
            <w:vAlign w:val="center"/>
          </w:tcPr>
          <w:p w14:paraId="55E6D8EC">
            <w:pPr>
              <w:pStyle w:val="41"/>
              <w:rPr>
                <w:color w:val="auto"/>
                <w:szCs w:val="18"/>
                <w:highlight w:val="none"/>
              </w:rPr>
            </w:pPr>
            <w:r>
              <w:rPr>
                <w:color w:val="auto"/>
                <w:szCs w:val="18"/>
                <w:highlight w:val="none"/>
              </w:rPr>
              <w:t>10</w:t>
            </w:r>
          </w:p>
        </w:tc>
        <w:tc>
          <w:tcPr>
            <w:tcW w:w="1132" w:type="dxa"/>
            <w:vAlign w:val="center"/>
          </w:tcPr>
          <w:p w14:paraId="474417D9">
            <w:pPr>
              <w:pStyle w:val="41"/>
              <w:rPr>
                <w:color w:val="auto"/>
                <w:szCs w:val="18"/>
                <w:highlight w:val="none"/>
              </w:rPr>
            </w:pPr>
            <w:r>
              <w:rPr>
                <w:rFonts w:hint="eastAsia"/>
                <w:color w:val="auto"/>
                <w:szCs w:val="18"/>
                <w:highlight w:val="none"/>
              </w:rPr>
              <w:t>预期性</w:t>
            </w:r>
          </w:p>
        </w:tc>
      </w:tr>
      <w:tr w14:paraId="25D6C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9" w:hRule="atLeast"/>
          <w:jc w:val="center"/>
        </w:trPr>
        <w:tc>
          <w:tcPr>
            <w:tcW w:w="4062" w:type="dxa"/>
            <w:tcBorders>
              <w:right w:val="single" w:color="auto" w:sz="4" w:space="0"/>
            </w:tcBorders>
            <w:vAlign w:val="center"/>
          </w:tcPr>
          <w:p w14:paraId="2D19C3D6">
            <w:pPr>
              <w:pStyle w:val="41"/>
              <w:jc w:val="left"/>
              <w:rPr>
                <w:color w:val="auto"/>
                <w:szCs w:val="18"/>
                <w:highlight w:val="none"/>
              </w:rPr>
            </w:pPr>
            <w:r>
              <w:rPr>
                <w:color w:val="auto"/>
                <w:szCs w:val="18"/>
                <w:highlight w:val="none"/>
              </w:rPr>
              <w:t>7</w:t>
            </w:r>
            <w:r>
              <w:rPr>
                <w:color w:val="auto"/>
                <w:szCs w:val="18"/>
                <w:highlight w:val="none"/>
                <w:lang w:val="zh-TW"/>
              </w:rPr>
              <w:t>.</w:t>
            </w:r>
            <w:r>
              <w:rPr>
                <w:rFonts w:hint="eastAsia"/>
                <w:color w:val="auto"/>
                <w:szCs w:val="18"/>
                <w:highlight w:val="none"/>
                <w:lang w:val="zh-TW"/>
              </w:rPr>
              <w:t>每万人口高价值发明专利</w:t>
            </w:r>
            <w:r>
              <w:rPr>
                <w:rFonts w:hint="eastAsia"/>
                <w:color w:val="auto"/>
                <w:szCs w:val="18"/>
                <w:highlight w:val="none"/>
                <w:lang w:val="zh-TW" w:eastAsia="zh-CN"/>
              </w:rPr>
              <w:t>拥有量</w:t>
            </w:r>
            <w:r>
              <w:rPr>
                <w:rFonts w:hint="eastAsia"/>
                <w:color w:val="auto"/>
                <w:szCs w:val="18"/>
                <w:highlight w:val="none"/>
                <w:lang w:val="zh-TW"/>
              </w:rPr>
              <w:t>（件）</w:t>
            </w:r>
          </w:p>
        </w:tc>
        <w:tc>
          <w:tcPr>
            <w:tcW w:w="1214" w:type="dxa"/>
            <w:tcBorders>
              <w:left w:val="single" w:color="auto" w:sz="4" w:space="0"/>
              <w:bottom w:val="single" w:color="auto" w:sz="4" w:space="0"/>
              <w:right w:val="single" w:color="auto" w:sz="4" w:space="0"/>
            </w:tcBorders>
            <w:vAlign w:val="center"/>
          </w:tcPr>
          <w:p w14:paraId="2A5B8298">
            <w:pPr>
              <w:pStyle w:val="41"/>
              <w:jc w:val="center"/>
              <w:rPr>
                <w:rFonts w:ascii="Times New Roman" w:hAnsi="Times New Roman" w:eastAsia="宋体" w:cs="Times New Roman"/>
                <w:color w:val="auto"/>
                <w:kern w:val="2"/>
                <w:sz w:val="18"/>
                <w:szCs w:val="18"/>
                <w:highlight w:val="none"/>
                <w:lang w:val="en-US" w:eastAsia="zh-CN" w:bidi="ar-SA"/>
              </w:rPr>
            </w:pPr>
            <w:r>
              <w:rPr>
                <w:rFonts w:hint="eastAsia"/>
                <w:color w:val="auto"/>
                <w:szCs w:val="18"/>
                <w:highlight w:val="none"/>
                <w:lang w:eastAsia="zh-CN"/>
              </w:rPr>
              <w:t>—</w:t>
            </w:r>
          </w:p>
        </w:tc>
        <w:tc>
          <w:tcPr>
            <w:tcW w:w="1152" w:type="dxa"/>
            <w:vAlign w:val="center"/>
          </w:tcPr>
          <w:p w14:paraId="2FE098CD">
            <w:pPr>
              <w:pStyle w:val="41"/>
              <w:rPr>
                <w:color w:val="auto"/>
                <w:szCs w:val="18"/>
                <w:highlight w:val="none"/>
              </w:rPr>
            </w:pPr>
            <w:r>
              <w:rPr>
                <w:color w:val="auto"/>
                <w:szCs w:val="18"/>
                <w:highlight w:val="none"/>
              </w:rPr>
              <w:t>3.5</w:t>
            </w:r>
          </w:p>
        </w:tc>
        <w:tc>
          <w:tcPr>
            <w:tcW w:w="996" w:type="dxa"/>
            <w:vAlign w:val="center"/>
          </w:tcPr>
          <w:p w14:paraId="00D76480">
            <w:pPr>
              <w:pStyle w:val="41"/>
              <w:rPr>
                <w:color w:val="auto"/>
                <w:szCs w:val="18"/>
                <w:highlight w:val="none"/>
              </w:rPr>
            </w:pPr>
          </w:p>
        </w:tc>
        <w:tc>
          <w:tcPr>
            <w:tcW w:w="1132" w:type="dxa"/>
            <w:vAlign w:val="center"/>
          </w:tcPr>
          <w:p w14:paraId="60B89E64">
            <w:pPr>
              <w:pStyle w:val="41"/>
              <w:rPr>
                <w:color w:val="auto"/>
                <w:szCs w:val="18"/>
                <w:highlight w:val="none"/>
              </w:rPr>
            </w:pPr>
            <w:r>
              <w:rPr>
                <w:rFonts w:hint="eastAsia"/>
                <w:color w:val="auto"/>
                <w:szCs w:val="18"/>
                <w:highlight w:val="none"/>
              </w:rPr>
              <w:t>预期性</w:t>
            </w:r>
          </w:p>
        </w:tc>
      </w:tr>
      <w:tr w14:paraId="5DB0F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5" w:hRule="atLeast"/>
          <w:jc w:val="center"/>
        </w:trPr>
        <w:tc>
          <w:tcPr>
            <w:tcW w:w="4062" w:type="dxa"/>
            <w:tcBorders>
              <w:right w:val="single" w:color="auto" w:sz="4" w:space="0"/>
            </w:tcBorders>
            <w:vAlign w:val="center"/>
          </w:tcPr>
          <w:p w14:paraId="1092CE2E">
            <w:pPr>
              <w:pStyle w:val="41"/>
              <w:jc w:val="left"/>
              <w:rPr>
                <w:color w:val="auto"/>
                <w:szCs w:val="18"/>
                <w:highlight w:val="none"/>
              </w:rPr>
            </w:pPr>
            <w:r>
              <w:rPr>
                <w:color w:val="auto"/>
                <w:szCs w:val="18"/>
                <w:highlight w:val="none"/>
              </w:rPr>
              <w:t>8</w:t>
            </w:r>
            <w:r>
              <w:rPr>
                <w:color w:val="auto"/>
                <w:szCs w:val="18"/>
                <w:highlight w:val="none"/>
                <w:lang w:val="zh-TW"/>
              </w:rPr>
              <w:t>.</w:t>
            </w:r>
            <w:r>
              <w:rPr>
                <w:rFonts w:hint="eastAsia"/>
                <w:color w:val="auto"/>
                <w:szCs w:val="18"/>
                <w:highlight w:val="none"/>
                <w:lang w:val="zh-TW"/>
              </w:rPr>
              <w:t>数字经济核心产业增加值占地区</w:t>
            </w:r>
            <w:r>
              <w:rPr>
                <w:rFonts w:hint="eastAsia"/>
                <w:color w:val="auto"/>
                <w:szCs w:val="18"/>
                <w:highlight w:val="none"/>
                <w:lang w:val="zh-TW" w:eastAsia="zh-TW"/>
              </w:rPr>
              <w:t>生产总值</w:t>
            </w:r>
            <w:r>
              <w:rPr>
                <w:rFonts w:hint="eastAsia"/>
                <w:color w:val="auto"/>
                <w:szCs w:val="18"/>
                <w:highlight w:val="none"/>
                <w:lang w:val="zh-TW" w:eastAsia="zh-CN"/>
              </w:rPr>
              <w:t>比重</w:t>
            </w:r>
            <w:r>
              <w:rPr>
                <w:rFonts w:hint="eastAsia"/>
                <w:color w:val="auto"/>
                <w:szCs w:val="18"/>
                <w:highlight w:val="none"/>
                <w:lang w:val="zh-TW"/>
              </w:rPr>
              <w:t>（</w:t>
            </w:r>
            <w:r>
              <w:rPr>
                <w:color w:val="auto"/>
                <w:szCs w:val="18"/>
                <w:highlight w:val="none"/>
                <w:lang w:val="zh-TW"/>
              </w:rPr>
              <w:t>%</w:t>
            </w:r>
            <w:r>
              <w:rPr>
                <w:rFonts w:hint="eastAsia"/>
                <w:color w:val="auto"/>
                <w:szCs w:val="18"/>
                <w:highlight w:val="none"/>
                <w:lang w:val="zh-TW"/>
              </w:rPr>
              <w:t>）</w:t>
            </w:r>
          </w:p>
        </w:tc>
        <w:tc>
          <w:tcPr>
            <w:tcW w:w="1214" w:type="dxa"/>
            <w:tcBorders>
              <w:bottom w:val="single" w:color="auto" w:sz="4" w:space="0"/>
            </w:tcBorders>
            <w:vAlign w:val="center"/>
          </w:tcPr>
          <w:p w14:paraId="1703849D">
            <w:pPr>
              <w:pStyle w:val="41"/>
              <w:rPr>
                <w:rFonts w:ascii="Times New Roman" w:hAnsi="Times New Roman" w:eastAsia="宋体" w:cs="Times New Roman"/>
                <w:color w:val="auto"/>
                <w:kern w:val="2"/>
                <w:sz w:val="18"/>
                <w:szCs w:val="18"/>
                <w:highlight w:val="none"/>
                <w:lang w:val="en-US" w:eastAsia="zh-CN" w:bidi="ar-SA"/>
              </w:rPr>
            </w:pPr>
            <w:r>
              <w:rPr>
                <w:rFonts w:hint="eastAsia"/>
                <w:color w:val="auto"/>
                <w:szCs w:val="18"/>
                <w:highlight w:val="none"/>
                <w:lang w:eastAsia="zh-CN"/>
              </w:rPr>
              <w:t>—</w:t>
            </w:r>
          </w:p>
        </w:tc>
        <w:tc>
          <w:tcPr>
            <w:tcW w:w="1152" w:type="dxa"/>
            <w:vAlign w:val="center"/>
          </w:tcPr>
          <w:p w14:paraId="1EC173D0">
            <w:pPr>
              <w:pStyle w:val="41"/>
              <w:jc w:val="center"/>
              <w:rPr>
                <w:rFonts w:hint="default"/>
                <w:color w:val="auto"/>
                <w:szCs w:val="18"/>
                <w:highlight w:val="none"/>
                <w:lang w:val="en-US" w:eastAsia="zh-CN"/>
              </w:rPr>
            </w:pPr>
            <w:r>
              <w:rPr>
                <w:rFonts w:hint="eastAsia"/>
                <w:color w:val="auto"/>
                <w:szCs w:val="18"/>
                <w:highlight w:val="none"/>
                <w:lang w:val="en-US" w:eastAsia="zh-CN"/>
              </w:rPr>
              <w:t>5</w:t>
            </w:r>
          </w:p>
        </w:tc>
        <w:tc>
          <w:tcPr>
            <w:tcW w:w="996" w:type="dxa"/>
            <w:vAlign w:val="center"/>
          </w:tcPr>
          <w:p w14:paraId="0551680C">
            <w:pPr>
              <w:pStyle w:val="41"/>
              <w:rPr>
                <w:color w:val="auto"/>
                <w:szCs w:val="18"/>
                <w:highlight w:val="none"/>
              </w:rPr>
            </w:pPr>
            <w:r>
              <w:rPr>
                <w:color w:val="auto"/>
                <w:szCs w:val="18"/>
                <w:highlight w:val="none"/>
              </w:rPr>
              <w:t xml:space="preserve">[ </w:t>
            </w:r>
            <w:r>
              <w:rPr>
                <w:rFonts w:hint="eastAsia"/>
                <w:color w:val="auto"/>
                <w:szCs w:val="18"/>
                <w:highlight w:val="none"/>
                <w:lang w:val="en-US" w:eastAsia="zh-CN"/>
              </w:rPr>
              <w:t>2</w:t>
            </w:r>
            <w:r>
              <w:rPr>
                <w:color w:val="auto"/>
                <w:szCs w:val="18"/>
                <w:highlight w:val="none"/>
              </w:rPr>
              <w:t>.9]</w:t>
            </w:r>
          </w:p>
        </w:tc>
        <w:tc>
          <w:tcPr>
            <w:tcW w:w="1132" w:type="dxa"/>
            <w:vAlign w:val="center"/>
          </w:tcPr>
          <w:p w14:paraId="3A505B44">
            <w:pPr>
              <w:pStyle w:val="41"/>
              <w:rPr>
                <w:color w:val="auto"/>
                <w:szCs w:val="18"/>
                <w:highlight w:val="none"/>
              </w:rPr>
            </w:pPr>
            <w:r>
              <w:rPr>
                <w:rFonts w:hint="eastAsia"/>
                <w:color w:val="auto"/>
                <w:szCs w:val="18"/>
                <w:highlight w:val="none"/>
              </w:rPr>
              <w:t>预期性</w:t>
            </w:r>
          </w:p>
        </w:tc>
      </w:tr>
      <w:tr w14:paraId="3E836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5" w:hRule="atLeast"/>
          <w:jc w:val="center"/>
        </w:trPr>
        <w:tc>
          <w:tcPr>
            <w:tcW w:w="4062" w:type="dxa"/>
            <w:vAlign w:val="center"/>
          </w:tcPr>
          <w:p w14:paraId="01261924">
            <w:pPr>
              <w:pStyle w:val="41"/>
              <w:jc w:val="left"/>
              <w:rPr>
                <w:color w:val="auto"/>
                <w:szCs w:val="18"/>
                <w:highlight w:val="none"/>
              </w:rPr>
            </w:pPr>
            <w:r>
              <w:rPr>
                <w:color w:val="auto"/>
                <w:szCs w:val="18"/>
                <w:highlight w:val="none"/>
              </w:rPr>
              <w:t>9</w:t>
            </w:r>
            <w:r>
              <w:rPr>
                <w:color w:val="auto"/>
                <w:szCs w:val="18"/>
                <w:highlight w:val="none"/>
                <w:lang w:val="zh-TW"/>
              </w:rPr>
              <w:t>.</w:t>
            </w:r>
            <w:r>
              <w:rPr>
                <w:rFonts w:hint="eastAsia"/>
                <w:color w:val="auto"/>
                <w:szCs w:val="18"/>
                <w:highlight w:val="none"/>
                <w:lang w:val="zh-TW"/>
              </w:rPr>
              <w:t>高新技术</w:t>
            </w:r>
            <w:r>
              <w:rPr>
                <w:rFonts w:hint="eastAsia"/>
                <w:color w:val="auto"/>
                <w:szCs w:val="18"/>
                <w:highlight w:val="none"/>
                <w:lang w:val="zh-TW" w:eastAsia="zh-TW"/>
              </w:rPr>
              <w:t>产业增加值占</w:t>
            </w:r>
            <w:r>
              <w:rPr>
                <w:rFonts w:hint="eastAsia"/>
                <w:color w:val="auto"/>
                <w:szCs w:val="18"/>
                <w:highlight w:val="none"/>
                <w:lang w:val="zh-TW"/>
              </w:rPr>
              <w:t>规模</w:t>
            </w:r>
            <w:r>
              <w:rPr>
                <w:rFonts w:hint="eastAsia"/>
                <w:color w:val="auto"/>
                <w:szCs w:val="18"/>
                <w:highlight w:val="none"/>
                <w:lang w:val="zh-TW" w:eastAsia="zh-TW"/>
              </w:rPr>
              <w:t>以上工业增加值比</w:t>
            </w:r>
            <w:r>
              <w:rPr>
                <w:rFonts w:hint="eastAsia"/>
                <w:color w:val="auto"/>
                <w:szCs w:val="18"/>
                <w:highlight w:val="none"/>
                <w:lang w:val="zh-TW" w:eastAsia="zh-CN"/>
              </w:rPr>
              <w:t>重</w:t>
            </w:r>
            <w:r>
              <w:rPr>
                <w:rFonts w:hint="eastAsia"/>
                <w:color w:val="auto"/>
                <w:szCs w:val="18"/>
                <w:highlight w:val="none"/>
                <w:lang w:val="zh-TW"/>
              </w:rPr>
              <w:t>（</w:t>
            </w:r>
            <w:r>
              <w:rPr>
                <w:color w:val="auto"/>
                <w:szCs w:val="18"/>
                <w:highlight w:val="none"/>
                <w:lang w:val="zh-TW"/>
              </w:rPr>
              <w:t>%</w:t>
            </w:r>
            <w:r>
              <w:rPr>
                <w:rFonts w:hint="eastAsia"/>
                <w:color w:val="auto"/>
                <w:szCs w:val="18"/>
                <w:highlight w:val="none"/>
                <w:lang w:val="zh-TW"/>
              </w:rPr>
              <w:t>）</w:t>
            </w:r>
          </w:p>
        </w:tc>
        <w:tc>
          <w:tcPr>
            <w:tcW w:w="1214" w:type="dxa"/>
            <w:tcBorders>
              <w:top w:val="single" w:color="auto" w:sz="4" w:space="0"/>
              <w:left w:val="single" w:color="auto" w:sz="4" w:space="0"/>
              <w:bottom w:val="single" w:color="auto" w:sz="4" w:space="0"/>
              <w:right w:val="single" w:color="auto" w:sz="4" w:space="0"/>
            </w:tcBorders>
            <w:vAlign w:val="center"/>
          </w:tcPr>
          <w:p w14:paraId="7A5D5D80">
            <w:pPr>
              <w:pStyle w:val="41"/>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Cs w:val="18"/>
                <w:highlight w:val="none"/>
                <w:lang w:eastAsia="zh-CN"/>
              </w:rPr>
              <w:t>—</w:t>
            </w:r>
          </w:p>
        </w:tc>
        <w:tc>
          <w:tcPr>
            <w:tcW w:w="1152" w:type="dxa"/>
            <w:tcBorders>
              <w:left w:val="single" w:color="auto" w:sz="4" w:space="0"/>
              <w:bottom w:val="single" w:color="auto" w:sz="4" w:space="0"/>
            </w:tcBorders>
            <w:vAlign w:val="center"/>
          </w:tcPr>
          <w:p w14:paraId="3E18C2F8">
            <w:pPr>
              <w:pStyle w:val="41"/>
              <w:jc w:val="center"/>
              <w:rPr>
                <w:color w:val="auto"/>
                <w:szCs w:val="18"/>
                <w:highlight w:val="none"/>
              </w:rPr>
            </w:pPr>
            <w:r>
              <w:rPr>
                <w:color w:val="auto"/>
                <w:szCs w:val="18"/>
                <w:highlight w:val="none"/>
              </w:rPr>
              <w:t>35</w:t>
            </w:r>
          </w:p>
        </w:tc>
        <w:tc>
          <w:tcPr>
            <w:tcW w:w="996" w:type="dxa"/>
            <w:tcBorders>
              <w:bottom w:val="single" w:color="auto" w:sz="4" w:space="0"/>
            </w:tcBorders>
            <w:vAlign w:val="center"/>
          </w:tcPr>
          <w:p w14:paraId="703D98D1">
            <w:pPr>
              <w:pStyle w:val="41"/>
              <w:rPr>
                <w:color w:val="auto"/>
                <w:szCs w:val="18"/>
                <w:highlight w:val="none"/>
              </w:rPr>
            </w:pPr>
          </w:p>
        </w:tc>
        <w:tc>
          <w:tcPr>
            <w:tcW w:w="1132" w:type="dxa"/>
            <w:tcBorders>
              <w:bottom w:val="single" w:color="auto" w:sz="4" w:space="0"/>
            </w:tcBorders>
            <w:vAlign w:val="center"/>
          </w:tcPr>
          <w:p w14:paraId="5B7C383E">
            <w:pPr>
              <w:pStyle w:val="41"/>
              <w:rPr>
                <w:color w:val="auto"/>
                <w:szCs w:val="18"/>
                <w:highlight w:val="none"/>
              </w:rPr>
            </w:pPr>
            <w:r>
              <w:rPr>
                <w:rFonts w:hint="eastAsia"/>
                <w:color w:val="auto"/>
                <w:szCs w:val="18"/>
                <w:highlight w:val="none"/>
              </w:rPr>
              <w:t>预期性</w:t>
            </w:r>
          </w:p>
        </w:tc>
      </w:tr>
      <w:tr w14:paraId="59977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3" w:hRule="atLeast"/>
          <w:jc w:val="center"/>
        </w:trPr>
        <w:tc>
          <w:tcPr>
            <w:tcW w:w="4062" w:type="dxa"/>
            <w:vAlign w:val="center"/>
          </w:tcPr>
          <w:p w14:paraId="1A06C2EE">
            <w:pPr>
              <w:pStyle w:val="41"/>
              <w:jc w:val="left"/>
              <w:rPr>
                <w:color w:val="auto"/>
                <w:szCs w:val="18"/>
                <w:highlight w:val="none"/>
              </w:rPr>
            </w:pPr>
            <w:r>
              <w:rPr>
                <w:rFonts w:hint="eastAsia"/>
                <w:b/>
                <w:bCs/>
                <w:color w:val="auto"/>
                <w:szCs w:val="18"/>
                <w:highlight w:val="none"/>
              </w:rPr>
              <w:t>民生福祉（</w:t>
            </w:r>
            <w:r>
              <w:rPr>
                <w:b/>
                <w:bCs/>
                <w:color w:val="auto"/>
                <w:szCs w:val="18"/>
                <w:highlight w:val="none"/>
              </w:rPr>
              <w:t>7</w:t>
            </w:r>
            <w:r>
              <w:rPr>
                <w:rFonts w:hint="eastAsia"/>
                <w:b/>
                <w:bCs/>
                <w:color w:val="auto"/>
                <w:szCs w:val="18"/>
                <w:highlight w:val="none"/>
              </w:rPr>
              <w:t>项）</w:t>
            </w:r>
          </w:p>
        </w:tc>
        <w:tc>
          <w:tcPr>
            <w:tcW w:w="1214" w:type="dxa"/>
            <w:vAlign w:val="center"/>
          </w:tcPr>
          <w:p w14:paraId="4EF9D9A5">
            <w:pPr>
              <w:pStyle w:val="41"/>
              <w:jc w:val="center"/>
              <w:rPr>
                <w:color w:val="auto"/>
                <w:szCs w:val="18"/>
                <w:highlight w:val="none"/>
              </w:rPr>
            </w:pPr>
          </w:p>
        </w:tc>
        <w:tc>
          <w:tcPr>
            <w:tcW w:w="1152" w:type="dxa"/>
            <w:vAlign w:val="center"/>
          </w:tcPr>
          <w:p w14:paraId="2890A36B">
            <w:pPr>
              <w:pStyle w:val="41"/>
              <w:jc w:val="center"/>
              <w:rPr>
                <w:color w:val="auto"/>
                <w:szCs w:val="18"/>
                <w:highlight w:val="none"/>
              </w:rPr>
            </w:pPr>
          </w:p>
        </w:tc>
        <w:tc>
          <w:tcPr>
            <w:tcW w:w="996" w:type="dxa"/>
            <w:vAlign w:val="center"/>
          </w:tcPr>
          <w:p w14:paraId="0A41FB54">
            <w:pPr>
              <w:pStyle w:val="41"/>
              <w:rPr>
                <w:b/>
                <w:bCs/>
                <w:color w:val="auto"/>
                <w:szCs w:val="18"/>
                <w:highlight w:val="none"/>
              </w:rPr>
            </w:pPr>
          </w:p>
        </w:tc>
        <w:tc>
          <w:tcPr>
            <w:tcW w:w="1132" w:type="dxa"/>
            <w:vAlign w:val="center"/>
          </w:tcPr>
          <w:p w14:paraId="41A12472">
            <w:pPr>
              <w:pStyle w:val="41"/>
              <w:rPr>
                <w:b/>
                <w:bCs/>
                <w:color w:val="auto"/>
                <w:szCs w:val="18"/>
                <w:highlight w:val="none"/>
              </w:rPr>
            </w:pPr>
          </w:p>
        </w:tc>
      </w:tr>
      <w:tr w14:paraId="75691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80" w:hRule="atLeast"/>
          <w:jc w:val="center"/>
        </w:trPr>
        <w:tc>
          <w:tcPr>
            <w:tcW w:w="4062" w:type="dxa"/>
            <w:vAlign w:val="center"/>
          </w:tcPr>
          <w:p w14:paraId="33D1EE4F">
            <w:pPr>
              <w:pStyle w:val="41"/>
              <w:jc w:val="left"/>
              <w:rPr>
                <w:color w:val="auto"/>
                <w:szCs w:val="18"/>
                <w:highlight w:val="none"/>
              </w:rPr>
            </w:pPr>
            <w:r>
              <w:rPr>
                <w:color w:val="auto"/>
                <w:szCs w:val="18"/>
                <w:highlight w:val="none"/>
              </w:rPr>
              <w:t>10</w:t>
            </w:r>
            <w:r>
              <w:rPr>
                <w:color w:val="auto"/>
                <w:szCs w:val="18"/>
                <w:highlight w:val="none"/>
                <w:lang w:val="zh-TW" w:eastAsia="zh-TW"/>
              </w:rPr>
              <w:t>.</w:t>
            </w:r>
            <w:r>
              <w:rPr>
                <w:rFonts w:hint="eastAsia"/>
                <w:color w:val="auto"/>
                <w:szCs w:val="18"/>
                <w:highlight w:val="none"/>
                <w:lang w:val="zh-TW" w:eastAsia="zh-TW"/>
              </w:rPr>
              <w:t>居民人均可支配收入增长（</w:t>
            </w:r>
            <w:r>
              <w:rPr>
                <w:color w:val="auto"/>
                <w:szCs w:val="18"/>
                <w:highlight w:val="none"/>
                <w:lang w:val="zh-TW" w:eastAsia="zh-TW"/>
              </w:rPr>
              <w:t>%</w:t>
            </w:r>
            <w:r>
              <w:rPr>
                <w:rFonts w:hint="eastAsia"/>
                <w:color w:val="auto"/>
                <w:szCs w:val="18"/>
                <w:highlight w:val="none"/>
                <w:lang w:val="zh-TW" w:eastAsia="zh-TW"/>
              </w:rPr>
              <w:t>）</w:t>
            </w:r>
          </w:p>
        </w:tc>
        <w:tc>
          <w:tcPr>
            <w:tcW w:w="1214" w:type="dxa"/>
            <w:vAlign w:val="center"/>
          </w:tcPr>
          <w:p w14:paraId="609E51B3">
            <w:pPr>
              <w:pStyle w:val="41"/>
              <w:jc w:val="center"/>
              <w:rPr>
                <w:color w:val="auto"/>
                <w:szCs w:val="18"/>
                <w:highlight w:val="none"/>
              </w:rPr>
            </w:pPr>
            <w:r>
              <w:rPr>
                <w:rFonts w:hint="eastAsia"/>
                <w:color w:val="auto"/>
                <w:szCs w:val="18"/>
                <w:highlight w:val="none"/>
                <w:lang w:val="en-US" w:eastAsia="zh-CN"/>
              </w:rPr>
              <w:t>5.6</w:t>
            </w:r>
          </w:p>
        </w:tc>
        <w:tc>
          <w:tcPr>
            <w:tcW w:w="1152" w:type="dxa"/>
            <w:vAlign w:val="center"/>
          </w:tcPr>
          <w:p w14:paraId="7020B67B">
            <w:pPr>
              <w:pStyle w:val="41"/>
              <w:jc w:val="center"/>
              <w:rPr>
                <w:color w:val="auto"/>
                <w:szCs w:val="18"/>
                <w:highlight w:val="none"/>
              </w:rPr>
            </w:pPr>
            <w:r>
              <w:rPr>
                <w:rFonts w:hint="eastAsia"/>
                <w:color w:val="auto"/>
                <w:szCs w:val="18"/>
                <w:highlight w:val="none"/>
                <w:lang w:eastAsia="zh-CN"/>
              </w:rPr>
              <w:t>—</w:t>
            </w:r>
          </w:p>
        </w:tc>
        <w:tc>
          <w:tcPr>
            <w:tcW w:w="996" w:type="dxa"/>
            <w:vAlign w:val="center"/>
          </w:tcPr>
          <w:p w14:paraId="54105F0D">
            <w:pPr>
              <w:pStyle w:val="41"/>
              <w:rPr>
                <w:color w:val="auto"/>
                <w:szCs w:val="18"/>
                <w:highlight w:val="none"/>
              </w:rPr>
            </w:pPr>
            <w:r>
              <w:rPr>
                <w:color w:val="auto"/>
                <w:szCs w:val="18"/>
                <w:highlight w:val="none"/>
              </w:rPr>
              <w:t>6.5</w:t>
            </w:r>
            <w:r>
              <w:rPr>
                <w:rFonts w:hint="eastAsia"/>
                <w:color w:val="auto"/>
                <w:szCs w:val="18"/>
                <w:highlight w:val="none"/>
                <w:lang w:eastAsia="zh-CN"/>
              </w:rPr>
              <w:t>左右</w:t>
            </w:r>
          </w:p>
        </w:tc>
        <w:tc>
          <w:tcPr>
            <w:tcW w:w="1132" w:type="dxa"/>
            <w:vAlign w:val="center"/>
          </w:tcPr>
          <w:p w14:paraId="1CA4E1F2">
            <w:pPr>
              <w:pStyle w:val="41"/>
              <w:rPr>
                <w:color w:val="auto"/>
                <w:szCs w:val="18"/>
                <w:highlight w:val="none"/>
              </w:rPr>
            </w:pPr>
            <w:r>
              <w:rPr>
                <w:rFonts w:hint="eastAsia"/>
                <w:color w:val="auto"/>
                <w:szCs w:val="18"/>
                <w:highlight w:val="none"/>
              </w:rPr>
              <w:t>预期性</w:t>
            </w:r>
          </w:p>
        </w:tc>
      </w:tr>
      <w:tr w14:paraId="1E909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8" w:hRule="atLeast"/>
          <w:jc w:val="center"/>
        </w:trPr>
        <w:tc>
          <w:tcPr>
            <w:tcW w:w="4062" w:type="dxa"/>
            <w:vAlign w:val="center"/>
          </w:tcPr>
          <w:p w14:paraId="08EE6886">
            <w:pPr>
              <w:pStyle w:val="41"/>
              <w:jc w:val="left"/>
              <w:rPr>
                <w:color w:val="auto"/>
                <w:szCs w:val="18"/>
                <w:highlight w:val="none"/>
              </w:rPr>
            </w:pPr>
            <w:r>
              <w:rPr>
                <w:color w:val="auto"/>
                <w:szCs w:val="18"/>
                <w:highlight w:val="none"/>
              </w:rPr>
              <w:t>11</w:t>
            </w:r>
            <w:r>
              <w:rPr>
                <w:color w:val="auto"/>
                <w:szCs w:val="18"/>
                <w:highlight w:val="none"/>
                <w:lang w:val="zh-TW" w:eastAsia="zh-TW"/>
              </w:rPr>
              <w:t>.</w:t>
            </w:r>
            <w:r>
              <w:rPr>
                <w:rFonts w:hint="eastAsia"/>
                <w:color w:val="auto"/>
                <w:szCs w:val="18"/>
                <w:highlight w:val="none"/>
                <w:lang w:val="zh-TW" w:eastAsia="zh-TW"/>
              </w:rPr>
              <w:t>城镇调查失业率（</w:t>
            </w:r>
            <w:r>
              <w:rPr>
                <w:color w:val="auto"/>
                <w:szCs w:val="18"/>
                <w:highlight w:val="none"/>
                <w:lang w:val="zh-TW" w:eastAsia="zh-TW"/>
              </w:rPr>
              <w:t>%</w:t>
            </w:r>
            <w:r>
              <w:rPr>
                <w:rFonts w:hint="eastAsia"/>
                <w:color w:val="auto"/>
                <w:szCs w:val="18"/>
                <w:highlight w:val="none"/>
                <w:lang w:val="zh-TW" w:eastAsia="zh-TW"/>
              </w:rPr>
              <w:t>）</w:t>
            </w:r>
          </w:p>
        </w:tc>
        <w:tc>
          <w:tcPr>
            <w:tcW w:w="1214" w:type="dxa"/>
            <w:vAlign w:val="center"/>
          </w:tcPr>
          <w:p w14:paraId="2075E052">
            <w:pPr>
              <w:pStyle w:val="41"/>
              <w:rPr>
                <w:rFonts w:hint="eastAsia" w:ascii="Times New Roman" w:hAnsi="Times New Roman" w:eastAsia="宋体" w:cs="Times New Roman"/>
                <w:color w:val="auto"/>
                <w:kern w:val="2"/>
                <w:sz w:val="18"/>
                <w:szCs w:val="18"/>
                <w:highlight w:val="none"/>
                <w:lang w:val="en-US" w:eastAsia="zh-CN" w:bidi="ar-SA"/>
              </w:rPr>
            </w:pPr>
            <w:r>
              <w:rPr>
                <w:rFonts w:hint="eastAsia"/>
                <w:color w:val="auto"/>
                <w:szCs w:val="18"/>
                <w:highlight w:val="none"/>
                <w:lang w:eastAsia="zh-CN"/>
              </w:rPr>
              <w:t>—</w:t>
            </w:r>
          </w:p>
        </w:tc>
        <w:tc>
          <w:tcPr>
            <w:tcW w:w="1152" w:type="dxa"/>
            <w:vAlign w:val="center"/>
          </w:tcPr>
          <w:p w14:paraId="7E195147">
            <w:pPr>
              <w:pStyle w:val="41"/>
              <w:jc w:val="center"/>
              <w:rPr>
                <w:color w:val="auto"/>
                <w:szCs w:val="18"/>
                <w:highlight w:val="none"/>
              </w:rPr>
            </w:pPr>
            <w:r>
              <w:rPr>
                <w:color w:val="auto"/>
                <w:szCs w:val="18"/>
                <w:highlight w:val="none"/>
              </w:rPr>
              <w:t>5.5</w:t>
            </w:r>
            <w:r>
              <w:rPr>
                <w:rFonts w:hint="eastAsia"/>
                <w:color w:val="auto"/>
                <w:szCs w:val="18"/>
                <w:highlight w:val="none"/>
              </w:rPr>
              <w:t>左右</w:t>
            </w:r>
          </w:p>
        </w:tc>
        <w:tc>
          <w:tcPr>
            <w:tcW w:w="996" w:type="dxa"/>
            <w:vAlign w:val="center"/>
          </w:tcPr>
          <w:p w14:paraId="3B064F18">
            <w:pPr>
              <w:pStyle w:val="41"/>
              <w:rPr>
                <w:color w:val="auto"/>
                <w:szCs w:val="18"/>
                <w:highlight w:val="none"/>
              </w:rPr>
            </w:pPr>
          </w:p>
        </w:tc>
        <w:tc>
          <w:tcPr>
            <w:tcW w:w="1132" w:type="dxa"/>
            <w:vAlign w:val="center"/>
          </w:tcPr>
          <w:p w14:paraId="58BBBC52">
            <w:pPr>
              <w:pStyle w:val="41"/>
              <w:rPr>
                <w:color w:val="auto"/>
                <w:szCs w:val="18"/>
                <w:highlight w:val="none"/>
              </w:rPr>
            </w:pPr>
            <w:r>
              <w:rPr>
                <w:rFonts w:hint="eastAsia"/>
                <w:color w:val="auto"/>
                <w:szCs w:val="18"/>
                <w:highlight w:val="none"/>
              </w:rPr>
              <w:t>预期性</w:t>
            </w:r>
          </w:p>
        </w:tc>
      </w:tr>
      <w:tr w14:paraId="449B5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8" w:hRule="atLeast"/>
          <w:jc w:val="center"/>
        </w:trPr>
        <w:tc>
          <w:tcPr>
            <w:tcW w:w="4062" w:type="dxa"/>
            <w:vAlign w:val="center"/>
          </w:tcPr>
          <w:p w14:paraId="2B362FC9">
            <w:pPr>
              <w:pStyle w:val="41"/>
              <w:jc w:val="left"/>
              <w:rPr>
                <w:color w:val="auto"/>
                <w:szCs w:val="18"/>
                <w:highlight w:val="none"/>
              </w:rPr>
            </w:pPr>
            <w:r>
              <w:rPr>
                <w:color w:val="auto"/>
                <w:szCs w:val="18"/>
                <w:highlight w:val="none"/>
                <w:lang w:val="zh-TW" w:eastAsia="zh-TW"/>
              </w:rPr>
              <w:t>1</w:t>
            </w:r>
            <w:r>
              <w:rPr>
                <w:color w:val="auto"/>
                <w:szCs w:val="18"/>
                <w:highlight w:val="none"/>
              </w:rPr>
              <w:t>2</w:t>
            </w:r>
            <w:r>
              <w:rPr>
                <w:color w:val="auto"/>
                <w:szCs w:val="18"/>
                <w:highlight w:val="none"/>
                <w:lang w:val="zh-TW" w:eastAsia="zh-TW"/>
              </w:rPr>
              <w:t>.</w:t>
            </w:r>
            <w:r>
              <w:rPr>
                <w:rFonts w:hint="eastAsia"/>
                <w:color w:val="auto"/>
                <w:szCs w:val="18"/>
                <w:highlight w:val="none"/>
                <w:lang w:val="zh-TW" w:eastAsia="zh-TW"/>
              </w:rPr>
              <w:t>人均预期寿命（岁）</w:t>
            </w:r>
          </w:p>
        </w:tc>
        <w:tc>
          <w:tcPr>
            <w:tcW w:w="1214" w:type="dxa"/>
            <w:vAlign w:val="center"/>
          </w:tcPr>
          <w:p w14:paraId="3E6363D6">
            <w:pPr>
              <w:pStyle w:val="41"/>
              <w:jc w:val="center"/>
              <w:rPr>
                <w:color w:val="auto"/>
                <w:szCs w:val="18"/>
                <w:highlight w:val="none"/>
              </w:rPr>
            </w:pPr>
            <w:r>
              <w:rPr>
                <w:color w:val="auto"/>
                <w:szCs w:val="18"/>
                <w:highlight w:val="none"/>
              </w:rPr>
              <w:t>78.74</w:t>
            </w:r>
          </w:p>
        </w:tc>
        <w:tc>
          <w:tcPr>
            <w:tcW w:w="1152" w:type="dxa"/>
            <w:vAlign w:val="center"/>
          </w:tcPr>
          <w:p w14:paraId="19F2908D">
            <w:pPr>
              <w:pStyle w:val="41"/>
              <w:jc w:val="center"/>
              <w:rPr>
                <w:color w:val="auto"/>
                <w:szCs w:val="18"/>
                <w:highlight w:val="none"/>
              </w:rPr>
            </w:pPr>
            <w:r>
              <w:rPr>
                <w:color w:val="auto"/>
                <w:szCs w:val="18"/>
                <w:highlight w:val="none"/>
              </w:rPr>
              <w:t>79.24</w:t>
            </w:r>
          </w:p>
        </w:tc>
        <w:tc>
          <w:tcPr>
            <w:tcW w:w="996" w:type="dxa"/>
            <w:vAlign w:val="center"/>
          </w:tcPr>
          <w:p w14:paraId="66E355F2">
            <w:pPr>
              <w:pStyle w:val="41"/>
              <w:rPr>
                <w:color w:val="auto"/>
                <w:szCs w:val="18"/>
                <w:highlight w:val="none"/>
              </w:rPr>
            </w:pPr>
            <w:r>
              <w:rPr>
                <w:color w:val="auto"/>
                <w:szCs w:val="18"/>
                <w:highlight w:val="none"/>
              </w:rPr>
              <w:t>[0.5 ]</w:t>
            </w:r>
          </w:p>
        </w:tc>
        <w:tc>
          <w:tcPr>
            <w:tcW w:w="1132" w:type="dxa"/>
            <w:vAlign w:val="center"/>
          </w:tcPr>
          <w:p w14:paraId="6A16DDD8">
            <w:pPr>
              <w:pStyle w:val="41"/>
              <w:rPr>
                <w:color w:val="auto"/>
                <w:szCs w:val="18"/>
                <w:highlight w:val="none"/>
              </w:rPr>
            </w:pPr>
            <w:r>
              <w:rPr>
                <w:rFonts w:hint="eastAsia"/>
                <w:color w:val="auto"/>
                <w:szCs w:val="18"/>
                <w:highlight w:val="none"/>
              </w:rPr>
              <w:t>预期性</w:t>
            </w:r>
          </w:p>
        </w:tc>
      </w:tr>
      <w:tr w14:paraId="0E1F3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88" w:hRule="atLeast"/>
          <w:jc w:val="center"/>
        </w:trPr>
        <w:tc>
          <w:tcPr>
            <w:tcW w:w="4062" w:type="dxa"/>
            <w:tcBorders>
              <w:bottom w:val="single" w:color="auto" w:sz="4" w:space="0"/>
            </w:tcBorders>
            <w:vAlign w:val="center"/>
          </w:tcPr>
          <w:p w14:paraId="09E29D7F">
            <w:pPr>
              <w:pStyle w:val="41"/>
              <w:jc w:val="left"/>
              <w:rPr>
                <w:color w:val="auto"/>
                <w:szCs w:val="18"/>
                <w:highlight w:val="none"/>
              </w:rPr>
            </w:pPr>
            <w:r>
              <w:rPr>
                <w:color w:val="auto"/>
                <w:szCs w:val="18"/>
                <w:highlight w:val="none"/>
                <w:lang w:val="zh-TW" w:eastAsia="zh-TW"/>
              </w:rPr>
              <w:t>1</w:t>
            </w:r>
            <w:r>
              <w:rPr>
                <w:color w:val="auto"/>
                <w:szCs w:val="18"/>
                <w:highlight w:val="none"/>
              </w:rPr>
              <w:t>3</w:t>
            </w:r>
            <w:r>
              <w:rPr>
                <w:color w:val="auto"/>
                <w:szCs w:val="18"/>
                <w:highlight w:val="none"/>
                <w:lang w:val="zh-TW" w:eastAsia="zh-TW"/>
              </w:rPr>
              <w:t>.</w:t>
            </w:r>
            <w:r>
              <w:rPr>
                <w:rFonts w:hint="eastAsia"/>
                <w:color w:val="auto"/>
                <w:szCs w:val="18"/>
                <w:highlight w:val="none"/>
                <w:lang w:val="zh-TW" w:eastAsia="zh-TW"/>
              </w:rPr>
              <w:t>每千人口执业（助理）医师数（人）</w:t>
            </w:r>
          </w:p>
        </w:tc>
        <w:tc>
          <w:tcPr>
            <w:tcW w:w="1214" w:type="dxa"/>
            <w:tcBorders>
              <w:bottom w:val="single" w:color="auto" w:sz="4" w:space="0"/>
            </w:tcBorders>
            <w:vAlign w:val="center"/>
          </w:tcPr>
          <w:p w14:paraId="06510AA2">
            <w:pPr>
              <w:pStyle w:val="41"/>
              <w:jc w:val="center"/>
              <w:rPr>
                <w:color w:val="auto"/>
                <w:szCs w:val="18"/>
                <w:highlight w:val="none"/>
              </w:rPr>
            </w:pPr>
            <w:r>
              <w:rPr>
                <w:color w:val="auto"/>
                <w:szCs w:val="18"/>
                <w:highlight w:val="none"/>
              </w:rPr>
              <w:t>3.09</w:t>
            </w:r>
          </w:p>
        </w:tc>
        <w:tc>
          <w:tcPr>
            <w:tcW w:w="1152" w:type="dxa"/>
            <w:vAlign w:val="center"/>
          </w:tcPr>
          <w:p w14:paraId="22383A92">
            <w:pPr>
              <w:pStyle w:val="41"/>
              <w:jc w:val="center"/>
              <w:rPr>
                <w:color w:val="auto"/>
                <w:szCs w:val="18"/>
                <w:highlight w:val="none"/>
              </w:rPr>
            </w:pPr>
            <w:r>
              <w:rPr>
                <w:color w:val="auto"/>
                <w:szCs w:val="18"/>
                <w:highlight w:val="none"/>
              </w:rPr>
              <w:t>3.7</w:t>
            </w:r>
          </w:p>
        </w:tc>
        <w:tc>
          <w:tcPr>
            <w:tcW w:w="996" w:type="dxa"/>
            <w:vAlign w:val="center"/>
          </w:tcPr>
          <w:p w14:paraId="4FBD702B">
            <w:pPr>
              <w:pStyle w:val="41"/>
              <w:rPr>
                <w:color w:val="auto"/>
                <w:szCs w:val="18"/>
                <w:highlight w:val="none"/>
              </w:rPr>
            </w:pPr>
            <w:r>
              <w:rPr>
                <w:color w:val="auto"/>
                <w:szCs w:val="18"/>
                <w:highlight w:val="none"/>
              </w:rPr>
              <w:t>[ 0.61 ]</w:t>
            </w:r>
          </w:p>
        </w:tc>
        <w:tc>
          <w:tcPr>
            <w:tcW w:w="1132" w:type="dxa"/>
            <w:vAlign w:val="center"/>
          </w:tcPr>
          <w:p w14:paraId="0F6D9EB0">
            <w:pPr>
              <w:pStyle w:val="41"/>
              <w:rPr>
                <w:color w:val="auto"/>
                <w:szCs w:val="18"/>
                <w:highlight w:val="none"/>
              </w:rPr>
            </w:pPr>
            <w:r>
              <w:rPr>
                <w:rFonts w:hint="eastAsia"/>
                <w:color w:val="auto"/>
                <w:szCs w:val="18"/>
                <w:highlight w:val="none"/>
              </w:rPr>
              <w:t>预期性</w:t>
            </w:r>
          </w:p>
        </w:tc>
      </w:tr>
      <w:tr w14:paraId="2D7C8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3" w:hRule="atLeast"/>
          <w:jc w:val="center"/>
        </w:trPr>
        <w:tc>
          <w:tcPr>
            <w:tcW w:w="4062" w:type="dxa"/>
            <w:tcBorders>
              <w:top w:val="single" w:color="auto" w:sz="4" w:space="0"/>
            </w:tcBorders>
            <w:vAlign w:val="center"/>
          </w:tcPr>
          <w:p w14:paraId="09B125B4">
            <w:pPr>
              <w:pStyle w:val="41"/>
              <w:jc w:val="left"/>
              <w:rPr>
                <w:color w:val="auto"/>
                <w:szCs w:val="18"/>
                <w:highlight w:val="none"/>
                <w:lang w:val="zh-TW" w:eastAsia="zh-TW"/>
              </w:rPr>
            </w:pPr>
            <w:r>
              <w:rPr>
                <w:color w:val="auto"/>
                <w:szCs w:val="18"/>
                <w:highlight w:val="none"/>
                <w:lang w:val="zh-TW" w:eastAsia="zh-TW"/>
              </w:rPr>
              <w:t>1</w:t>
            </w:r>
            <w:r>
              <w:rPr>
                <w:color w:val="auto"/>
                <w:szCs w:val="18"/>
                <w:highlight w:val="none"/>
              </w:rPr>
              <w:t>4</w:t>
            </w:r>
            <w:r>
              <w:rPr>
                <w:color w:val="auto"/>
                <w:szCs w:val="18"/>
                <w:highlight w:val="none"/>
                <w:lang w:val="zh-TW" w:eastAsia="zh-TW"/>
              </w:rPr>
              <w:t>.</w:t>
            </w:r>
            <w:r>
              <w:rPr>
                <w:rFonts w:hint="eastAsia"/>
                <w:color w:val="auto"/>
                <w:szCs w:val="18"/>
                <w:highlight w:val="none"/>
                <w:lang w:val="zh-TW"/>
              </w:rPr>
              <w:t>基本养老保险</w:t>
            </w:r>
            <w:r>
              <w:rPr>
                <w:rFonts w:hint="eastAsia"/>
                <w:color w:val="auto"/>
                <w:szCs w:val="18"/>
                <w:highlight w:val="none"/>
                <w:lang w:val="zh-TW" w:eastAsia="zh-CN"/>
              </w:rPr>
              <w:t>参保</w:t>
            </w:r>
            <w:r>
              <w:rPr>
                <w:rFonts w:hint="eastAsia"/>
                <w:color w:val="auto"/>
                <w:szCs w:val="18"/>
                <w:highlight w:val="none"/>
                <w:lang w:val="zh-TW"/>
              </w:rPr>
              <w:t>率</w:t>
            </w:r>
            <w:r>
              <w:rPr>
                <w:rFonts w:hint="eastAsia"/>
                <w:color w:val="auto"/>
                <w:szCs w:val="18"/>
                <w:highlight w:val="none"/>
                <w:lang w:val="zh-TW" w:eastAsia="zh-TW"/>
              </w:rPr>
              <w:t>（</w:t>
            </w:r>
            <w:r>
              <w:rPr>
                <w:color w:val="auto"/>
                <w:szCs w:val="18"/>
                <w:highlight w:val="none"/>
                <w:lang w:val="zh-TW" w:eastAsia="zh-TW"/>
              </w:rPr>
              <w:t>%</w:t>
            </w:r>
            <w:r>
              <w:rPr>
                <w:rFonts w:hint="eastAsia"/>
                <w:color w:val="auto"/>
                <w:szCs w:val="18"/>
                <w:highlight w:val="none"/>
                <w:lang w:val="zh-TW" w:eastAsia="zh-TW"/>
              </w:rPr>
              <w:t>）</w:t>
            </w:r>
          </w:p>
        </w:tc>
        <w:tc>
          <w:tcPr>
            <w:tcW w:w="1214" w:type="dxa"/>
            <w:vAlign w:val="center"/>
          </w:tcPr>
          <w:p w14:paraId="6F9194EE">
            <w:pPr>
              <w:pStyle w:val="41"/>
              <w:rPr>
                <w:rFonts w:ascii="Times New Roman" w:hAnsi="Times New Roman" w:eastAsia="宋体" w:cs="Times New Roman"/>
                <w:color w:val="auto"/>
                <w:kern w:val="2"/>
                <w:sz w:val="18"/>
                <w:szCs w:val="18"/>
                <w:highlight w:val="none"/>
                <w:lang w:val="en-US" w:eastAsia="zh-CN" w:bidi="ar-SA"/>
              </w:rPr>
            </w:pPr>
            <w:r>
              <w:rPr>
                <w:rFonts w:hint="eastAsia"/>
                <w:color w:val="auto"/>
                <w:szCs w:val="18"/>
                <w:highlight w:val="none"/>
                <w:lang w:eastAsia="zh-CN"/>
              </w:rPr>
              <w:t>—</w:t>
            </w:r>
          </w:p>
        </w:tc>
        <w:tc>
          <w:tcPr>
            <w:tcW w:w="1152" w:type="dxa"/>
            <w:vAlign w:val="center"/>
          </w:tcPr>
          <w:p w14:paraId="396579FF">
            <w:pPr>
              <w:pStyle w:val="41"/>
              <w:jc w:val="center"/>
              <w:rPr>
                <w:color w:val="auto"/>
                <w:szCs w:val="18"/>
                <w:highlight w:val="none"/>
              </w:rPr>
            </w:pPr>
            <w:r>
              <w:rPr>
                <w:color w:val="auto"/>
                <w:szCs w:val="18"/>
                <w:highlight w:val="none"/>
              </w:rPr>
              <w:t>97</w:t>
            </w:r>
          </w:p>
        </w:tc>
        <w:tc>
          <w:tcPr>
            <w:tcW w:w="996" w:type="dxa"/>
            <w:vAlign w:val="center"/>
          </w:tcPr>
          <w:p w14:paraId="227520A2">
            <w:pPr>
              <w:pStyle w:val="41"/>
              <w:rPr>
                <w:color w:val="auto"/>
                <w:szCs w:val="18"/>
                <w:highlight w:val="none"/>
              </w:rPr>
            </w:pPr>
          </w:p>
        </w:tc>
        <w:tc>
          <w:tcPr>
            <w:tcW w:w="1132" w:type="dxa"/>
            <w:vAlign w:val="center"/>
          </w:tcPr>
          <w:p w14:paraId="009729F4">
            <w:pPr>
              <w:pStyle w:val="41"/>
              <w:rPr>
                <w:color w:val="auto"/>
                <w:szCs w:val="18"/>
                <w:highlight w:val="none"/>
              </w:rPr>
            </w:pPr>
            <w:r>
              <w:rPr>
                <w:rFonts w:hint="eastAsia"/>
                <w:color w:val="auto"/>
                <w:szCs w:val="18"/>
                <w:highlight w:val="none"/>
              </w:rPr>
              <w:t>预期性</w:t>
            </w:r>
          </w:p>
        </w:tc>
      </w:tr>
      <w:tr w14:paraId="22AD9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88" w:hRule="atLeast"/>
          <w:jc w:val="center"/>
        </w:trPr>
        <w:tc>
          <w:tcPr>
            <w:tcW w:w="4062" w:type="dxa"/>
            <w:vAlign w:val="center"/>
          </w:tcPr>
          <w:p w14:paraId="0F217BAC">
            <w:pPr>
              <w:pStyle w:val="41"/>
              <w:jc w:val="left"/>
              <w:rPr>
                <w:color w:val="auto"/>
                <w:szCs w:val="18"/>
                <w:highlight w:val="none"/>
              </w:rPr>
            </w:pPr>
            <w:r>
              <w:rPr>
                <w:color w:val="auto"/>
                <w:szCs w:val="18"/>
                <w:highlight w:val="none"/>
                <w:lang w:val="zh-TW" w:eastAsia="zh-TW"/>
              </w:rPr>
              <w:t>1</w:t>
            </w:r>
            <w:r>
              <w:rPr>
                <w:color w:val="auto"/>
                <w:szCs w:val="18"/>
                <w:highlight w:val="none"/>
              </w:rPr>
              <w:t>5</w:t>
            </w:r>
            <w:r>
              <w:rPr>
                <w:color w:val="auto"/>
                <w:szCs w:val="18"/>
                <w:highlight w:val="none"/>
                <w:lang w:val="zh-TW" w:eastAsia="zh-TW"/>
              </w:rPr>
              <w:t>.</w:t>
            </w:r>
            <w:r>
              <w:rPr>
                <w:rFonts w:hint="eastAsia"/>
                <w:color w:val="auto"/>
                <w:szCs w:val="18"/>
                <w:highlight w:val="none"/>
                <w:lang w:val="zh-TW"/>
              </w:rPr>
              <w:t>每千人</w:t>
            </w:r>
            <w:r>
              <w:rPr>
                <w:rFonts w:hint="eastAsia"/>
                <w:color w:val="auto"/>
                <w:szCs w:val="18"/>
                <w:highlight w:val="none"/>
                <w:lang w:val="zh-TW" w:eastAsia="zh-CN"/>
              </w:rPr>
              <w:t>口</w:t>
            </w:r>
            <w:r>
              <w:rPr>
                <w:rFonts w:hint="eastAsia"/>
                <w:color w:val="auto"/>
                <w:szCs w:val="18"/>
                <w:highlight w:val="none"/>
                <w:lang w:val="zh-TW"/>
              </w:rPr>
              <w:t>拥有</w:t>
            </w:r>
            <w:r>
              <w:rPr>
                <w:color w:val="auto"/>
                <w:szCs w:val="18"/>
                <w:highlight w:val="none"/>
              </w:rPr>
              <w:t>3</w:t>
            </w:r>
            <w:r>
              <w:rPr>
                <w:rFonts w:hint="eastAsia"/>
                <w:color w:val="auto"/>
                <w:szCs w:val="18"/>
                <w:highlight w:val="none"/>
              </w:rPr>
              <w:t>岁以下婴幼儿托</w:t>
            </w:r>
            <w:r>
              <w:rPr>
                <w:rFonts w:hint="eastAsia"/>
                <w:color w:val="auto"/>
                <w:szCs w:val="18"/>
                <w:highlight w:val="none"/>
                <w:lang w:eastAsia="zh-CN"/>
              </w:rPr>
              <w:t>位</w:t>
            </w:r>
            <w:r>
              <w:rPr>
                <w:rFonts w:hint="eastAsia"/>
                <w:color w:val="auto"/>
                <w:szCs w:val="18"/>
                <w:highlight w:val="none"/>
              </w:rPr>
              <w:t>数</w:t>
            </w:r>
            <w:r>
              <w:rPr>
                <w:rFonts w:hint="eastAsia"/>
                <w:color w:val="auto"/>
                <w:szCs w:val="18"/>
                <w:highlight w:val="none"/>
                <w:lang w:val="zh-TW" w:eastAsia="zh-TW"/>
              </w:rPr>
              <w:t>（</w:t>
            </w:r>
            <w:r>
              <w:rPr>
                <w:rFonts w:hint="eastAsia"/>
                <w:color w:val="auto"/>
                <w:szCs w:val="18"/>
                <w:highlight w:val="none"/>
                <w:lang w:val="zh-TW"/>
              </w:rPr>
              <w:t>个</w:t>
            </w:r>
            <w:r>
              <w:rPr>
                <w:rFonts w:hint="eastAsia"/>
                <w:color w:val="auto"/>
                <w:szCs w:val="18"/>
                <w:highlight w:val="none"/>
                <w:lang w:val="zh-TW" w:eastAsia="zh-TW"/>
              </w:rPr>
              <w:t>）</w:t>
            </w:r>
          </w:p>
        </w:tc>
        <w:tc>
          <w:tcPr>
            <w:tcW w:w="1214" w:type="dxa"/>
            <w:vAlign w:val="center"/>
          </w:tcPr>
          <w:p w14:paraId="16787323">
            <w:pPr>
              <w:pStyle w:val="41"/>
              <w:jc w:val="center"/>
              <w:rPr>
                <w:color w:val="auto"/>
                <w:szCs w:val="18"/>
                <w:highlight w:val="none"/>
              </w:rPr>
            </w:pPr>
            <w:r>
              <w:rPr>
                <w:color w:val="auto"/>
                <w:szCs w:val="18"/>
                <w:highlight w:val="none"/>
              </w:rPr>
              <w:t>0.2</w:t>
            </w:r>
          </w:p>
        </w:tc>
        <w:tc>
          <w:tcPr>
            <w:tcW w:w="1152" w:type="dxa"/>
            <w:tcBorders>
              <w:bottom w:val="single" w:color="auto" w:sz="4" w:space="0"/>
            </w:tcBorders>
            <w:vAlign w:val="center"/>
          </w:tcPr>
          <w:p w14:paraId="03F58DF5">
            <w:pPr>
              <w:pStyle w:val="41"/>
              <w:jc w:val="center"/>
              <w:rPr>
                <w:rFonts w:hint="default"/>
                <w:color w:val="auto"/>
                <w:szCs w:val="18"/>
                <w:highlight w:val="none"/>
                <w:lang w:val="en-US" w:eastAsia="zh-CN"/>
              </w:rPr>
            </w:pPr>
            <w:r>
              <w:rPr>
                <w:rFonts w:hint="eastAsia"/>
                <w:color w:val="auto"/>
                <w:szCs w:val="18"/>
                <w:highlight w:val="none"/>
                <w:lang w:val="en-US" w:eastAsia="zh-CN"/>
              </w:rPr>
              <w:t>2.8</w:t>
            </w:r>
          </w:p>
        </w:tc>
        <w:tc>
          <w:tcPr>
            <w:tcW w:w="996" w:type="dxa"/>
            <w:tcBorders>
              <w:bottom w:val="single" w:color="auto" w:sz="4" w:space="0"/>
            </w:tcBorders>
            <w:vAlign w:val="center"/>
          </w:tcPr>
          <w:p w14:paraId="4A860B31">
            <w:pPr>
              <w:pStyle w:val="41"/>
              <w:jc w:val="center"/>
              <w:rPr>
                <w:rFonts w:hint="eastAsia"/>
                <w:color w:val="auto"/>
                <w:szCs w:val="18"/>
                <w:highlight w:val="none"/>
              </w:rPr>
            </w:pPr>
            <w:r>
              <w:rPr>
                <w:rFonts w:hint="eastAsia"/>
                <w:color w:val="auto"/>
                <w:szCs w:val="18"/>
                <w:highlight w:val="none"/>
              </w:rPr>
              <w:t>[</w:t>
            </w:r>
            <w:r>
              <w:rPr>
                <w:rFonts w:hint="eastAsia"/>
                <w:color w:val="auto"/>
                <w:szCs w:val="18"/>
                <w:highlight w:val="none"/>
                <w:lang w:val="en-US" w:eastAsia="zh-CN"/>
              </w:rPr>
              <w:t>2.6</w:t>
            </w:r>
            <w:r>
              <w:rPr>
                <w:rFonts w:hint="eastAsia"/>
                <w:color w:val="auto"/>
                <w:szCs w:val="18"/>
                <w:highlight w:val="none"/>
              </w:rPr>
              <w:t>]</w:t>
            </w:r>
          </w:p>
        </w:tc>
        <w:tc>
          <w:tcPr>
            <w:tcW w:w="1132" w:type="dxa"/>
            <w:tcBorders>
              <w:bottom w:val="single" w:color="auto" w:sz="4" w:space="0"/>
            </w:tcBorders>
            <w:vAlign w:val="center"/>
          </w:tcPr>
          <w:p w14:paraId="7F772433">
            <w:pPr>
              <w:pStyle w:val="41"/>
              <w:rPr>
                <w:color w:val="auto"/>
                <w:szCs w:val="18"/>
                <w:highlight w:val="none"/>
              </w:rPr>
            </w:pPr>
            <w:r>
              <w:rPr>
                <w:rFonts w:hint="eastAsia"/>
                <w:color w:val="auto"/>
                <w:szCs w:val="18"/>
                <w:highlight w:val="none"/>
              </w:rPr>
              <w:t>预期性</w:t>
            </w:r>
          </w:p>
        </w:tc>
      </w:tr>
      <w:tr w14:paraId="40C71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3" w:hRule="atLeast"/>
          <w:jc w:val="center"/>
        </w:trPr>
        <w:tc>
          <w:tcPr>
            <w:tcW w:w="4062" w:type="dxa"/>
            <w:vAlign w:val="center"/>
          </w:tcPr>
          <w:p w14:paraId="006ED548">
            <w:pPr>
              <w:pStyle w:val="41"/>
              <w:jc w:val="left"/>
              <w:rPr>
                <w:color w:val="auto"/>
                <w:szCs w:val="18"/>
                <w:highlight w:val="none"/>
              </w:rPr>
            </w:pPr>
            <w:r>
              <w:rPr>
                <w:color w:val="auto"/>
                <w:szCs w:val="18"/>
                <w:highlight w:val="none"/>
                <w:lang w:val="zh-TW" w:eastAsia="zh-TW"/>
              </w:rPr>
              <w:t>1</w:t>
            </w:r>
            <w:r>
              <w:rPr>
                <w:color w:val="auto"/>
                <w:szCs w:val="18"/>
                <w:highlight w:val="none"/>
              </w:rPr>
              <w:t>6</w:t>
            </w:r>
            <w:r>
              <w:rPr>
                <w:color w:val="auto"/>
                <w:szCs w:val="18"/>
                <w:highlight w:val="none"/>
                <w:lang w:val="zh-TW" w:eastAsia="zh-TW"/>
              </w:rPr>
              <w:t>.</w:t>
            </w:r>
            <w:r>
              <w:rPr>
                <w:rFonts w:hint="eastAsia"/>
                <w:color w:val="auto"/>
                <w:szCs w:val="18"/>
                <w:highlight w:val="none"/>
                <w:lang w:val="zh-TW" w:eastAsia="zh-TW"/>
              </w:rPr>
              <w:t>劳动年龄人口平均受教育年限（年）</w:t>
            </w:r>
          </w:p>
        </w:tc>
        <w:tc>
          <w:tcPr>
            <w:tcW w:w="1214" w:type="dxa"/>
            <w:tcBorders>
              <w:top w:val="single" w:color="auto" w:sz="4" w:space="0"/>
            </w:tcBorders>
            <w:vAlign w:val="center"/>
          </w:tcPr>
          <w:p w14:paraId="4EDC6C9A">
            <w:pPr>
              <w:pStyle w:val="41"/>
              <w:jc w:val="center"/>
              <w:rPr>
                <w:color w:val="auto"/>
                <w:szCs w:val="18"/>
                <w:highlight w:val="none"/>
              </w:rPr>
            </w:pPr>
            <w:r>
              <w:rPr>
                <w:color w:val="auto"/>
                <w:szCs w:val="18"/>
                <w:highlight w:val="none"/>
              </w:rPr>
              <w:t>10.8</w:t>
            </w:r>
          </w:p>
        </w:tc>
        <w:tc>
          <w:tcPr>
            <w:tcW w:w="1152" w:type="dxa"/>
            <w:tcBorders>
              <w:top w:val="single" w:color="auto" w:sz="4" w:space="0"/>
            </w:tcBorders>
            <w:vAlign w:val="center"/>
          </w:tcPr>
          <w:p w14:paraId="78DBF098">
            <w:pPr>
              <w:pStyle w:val="41"/>
              <w:jc w:val="center"/>
              <w:rPr>
                <w:color w:val="auto"/>
                <w:szCs w:val="18"/>
                <w:highlight w:val="none"/>
              </w:rPr>
            </w:pPr>
            <w:r>
              <w:rPr>
                <w:color w:val="auto"/>
                <w:szCs w:val="18"/>
                <w:highlight w:val="none"/>
              </w:rPr>
              <w:t>11.3</w:t>
            </w:r>
          </w:p>
        </w:tc>
        <w:tc>
          <w:tcPr>
            <w:tcW w:w="996" w:type="dxa"/>
            <w:tcBorders>
              <w:top w:val="single" w:color="auto" w:sz="4" w:space="0"/>
            </w:tcBorders>
            <w:vAlign w:val="center"/>
          </w:tcPr>
          <w:p w14:paraId="68B2CACC">
            <w:pPr>
              <w:pStyle w:val="41"/>
              <w:rPr>
                <w:color w:val="auto"/>
                <w:szCs w:val="18"/>
                <w:highlight w:val="none"/>
              </w:rPr>
            </w:pPr>
            <w:r>
              <w:rPr>
                <w:color w:val="auto"/>
                <w:szCs w:val="18"/>
                <w:highlight w:val="none"/>
              </w:rPr>
              <w:t>[ 0.5]</w:t>
            </w:r>
          </w:p>
        </w:tc>
        <w:tc>
          <w:tcPr>
            <w:tcW w:w="1132" w:type="dxa"/>
            <w:tcBorders>
              <w:top w:val="single" w:color="auto" w:sz="4" w:space="0"/>
            </w:tcBorders>
            <w:vAlign w:val="center"/>
          </w:tcPr>
          <w:p w14:paraId="695A1B5D">
            <w:pPr>
              <w:pStyle w:val="41"/>
              <w:rPr>
                <w:color w:val="auto"/>
                <w:szCs w:val="18"/>
                <w:highlight w:val="none"/>
              </w:rPr>
            </w:pPr>
            <w:r>
              <w:rPr>
                <w:rFonts w:hint="eastAsia"/>
                <w:color w:val="auto"/>
                <w:szCs w:val="18"/>
                <w:highlight w:val="none"/>
                <w:lang w:eastAsia="zh-CN"/>
              </w:rPr>
              <w:t>预期</w:t>
            </w:r>
            <w:r>
              <w:rPr>
                <w:rFonts w:hint="eastAsia"/>
                <w:color w:val="auto"/>
                <w:szCs w:val="18"/>
                <w:highlight w:val="none"/>
              </w:rPr>
              <w:t>性</w:t>
            </w:r>
          </w:p>
        </w:tc>
      </w:tr>
      <w:tr w14:paraId="140EE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8" w:hRule="atLeast"/>
          <w:jc w:val="center"/>
        </w:trPr>
        <w:tc>
          <w:tcPr>
            <w:tcW w:w="4062" w:type="dxa"/>
            <w:vAlign w:val="center"/>
          </w:tcPr>
          <w:p w14:paraId="172F7550">
            <w:pPr>
              <w:pStyle w:val="41"/>
              <w:jc w:val="left"/>
              <w:rPr>
                <w:color w:val="auto"/>
                <w:szCs w:val="18"/>
                <w:highlight w:val="none"/>
              </w:rPr>
            </w:pPr>
            <w:r>
              <w:rPr>
                <w:rFonts w:hint="eastAsia" w:ascii="宋体" w:hAnsi="宋体" w:cs="宋体"/>
                <w:b/>
                <w:bCs/>
                <w:color w:val="auto"/>
                <w:szCs w:val="18"/>
                <w:highlight w:val="none"/>
              </w:rPr>
              <w:t>※</w:t>
            </w:r>
            <w:r>
              <w:rPr>
                <w:rFonts w:hint="eastAsia"/>
                <w:b/>
                <w:bCs/>
                <w:color w:val="auto"/>
                <w:szCs w:val="18"/>
                <w:highlight w:val="none"/>
              </w:rPr>
              <w:t>绿色转型（</w:t>
            </w:r>
            <w:r>
              <w:rPr>
                <w:b/>
                <w:bCs/>
                <w:color w:val="auto"/>
                <w:szCs w:val="18"/>
                <w:highlight w:val="none"/>
              </w:rPr>
              <w:t>7</w:t>
            </w:r>
            <w:r>
              <w:rPr>
                <w:rFonts w:hint="eastAsia"/>
                <w:b/>
                <w:bCs/>
                <w:color w:val="auto"/>
                <w:szCs w:val="18"/>
                <w:highlight w:val="none"/>
              </w:rPr>
              <w:t>项）</w:t>
            </w:r>
          </w:p>
        </w:tc>
        <w:tc>
          <w:tcPr>
            <w:tcW w:w="1214" w:type="dxa"/>
            <w:vAlign w:val="center"/>
          </w:tcPr>
          <w:p w14:paraId="0234A894">
            <w:pPr>
              <w:pStyle w:val="41"/>
              <w:jc w:val="center"/>
              <w:rPr>
                <w:color w:val="auto"/>
                <w:szCs w:val="18"/>
                <w:highlight w:val="none"/>
              </w:rPr>
            </w:pPr>
          </w:p>
        </w:tc>
        <w:tc>
          <w:tcPr>
            <w:tcW w:w="1152" w:type="dxa"/>
            <w:vAlign w:val="center"/>
          </w:tcPr>
          <w:p w14:paraId="218FA7E9">
            <w:pPr>
              <w:pStyle w:val="41"/>
              <w:jc w:val="center"/>
              <w:rPr>
                <w:color w:val="auto"/>
                <w:szCs w:val="18"/>
                <w:highlight w:val="none"/>
              </w:rPr>
            </w:pPr>
          </w:p>
        </w:tc>
        <w:tc>
          <w:tcPr>
            <w:tcW w:w="996" w:type="dxa"/>
            <w:vAlign w:val="center"/>
          </w:tcPr>
          <w:p w14:paraId="49D021FC">
            <w:pPr>
              <w:pStyle w:val="41"/>
              <w:rPr>
                <w:b/>
                <w:bCs/>
                <w:color w:val="auto"/>
                <w:szCs w:val="18"/>
                <w:highlight w:val="none"/>
              </w:rPr>
            </w:pPr>
          </w:p>
        </w:tc>
        <w:tc>
          <w:tcPr>
            <w:tcW w:w="1132" w:type="dxa"/>
            <w:vAlign w:val="center"/>
          </w:tcPr>
          <w:p w14:paraId="2306CE73">
            <w:pPr>
              <w:pStyle w:val="41"/>
              <w:rPr>
                <w:b/>
                <w:bCs/>
                <w:color w:val="auto"/>
                <w:szCs w:val="18"/>
                <w:highlight w:val="none"/>
              </w:rPr>
            </w:pPr>
          </w:p>
        </w:tc>
      </w:tr>
      <w:tr w14:paraId="2386B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96" w:hRule="atLeast"/>
          <w:jc w:val="center"/>
        </w:trPr>
        <w:tc>
          <w:tcPr>
            <w:tcW w:w="4062" w:type="dxa"/>
            <w:vAlign w:val="center"/>
          </w:tcPr>
          <w:p w14:paraId="05917CC5">
            <w:pPr>
              <w:pStyle w:val="41"/>
              <w:jc w:val="left"/>
              <w:rPr>
                <w:color w:val="auto"/>
                <w:szCs w:val="18"/>
                <w:highlight w:val="none"/>
              </w:rPr>
            </w:pPr>
            <w:r>
              <w:rPr>
                <w:color w:val="auto"/>
                <w:szCs w:val="18"/>
                <w:highlight w:val="none"/>
                <w:lang w:val="zh-TW" w:eastAsia="zh-TW"/>
              </w:rPr>
              <w:t>1</w:t>
            </w:r>
            <w:r>
              <w:rPr>
                <w:color w:val="auto"/>
                <w:szCs w:val="18"/>
                <w:highlight w:val="none"/>
              </w:rPr>
              <w:t>7</w:t>
            </w:r>
            <w:r>
              <w:rPr>
                <w:color w:val="auto"/>
                <w:szCs w:val="18"/>
                <w:highlight w:val="none"/>
                <w:lang w:val="zh-TW" w:eastAsia="zh-TW"/>
              </w:rPr>
              <w:t>.</w:t>
            </w:r>
            <w:r>
              <w:rPr>
                <w:rFonts w:hint="eastAsia"/>
                <w:color w:val="auto"/>
                <w:szCs w:val="18"/>
                <w:highlight w:val="none"/>
                <w:lang w:val="zh-TW" w:eastAsia="zh-TW"/>
              </w:rPr>
              <w:t>单位</w:t>
            </w:r>
            <w:r>
              <w:rPr>
                <w:rFonts w:hint="eastAsia"/>
                <w:color w:val="auto"/>
                <w:szCs w:val="18"/>
                <w:highlight w:val="none"/>
                <w:lang w:val="zh-TW"/>
              </w:rPr>
              <w:t>地区</w:t>
            </w:r>
            <w:r>
              <w:rPr>
                <w:rFonts w:hint="eastAsia"/>
                <w:color w:val="auto"/>
                <w:szCs w:val="18"/>
                <w:highlight w:val="none"/>
                <w:lang w:val="zh-TW" w:eastAsia="zh-TW"/>
              </w:rPr>
              <w:t>生产总值能源消耗</w:t>
            </w:r>
            <w:r>
              <w:rPr>
                <w:rFonts w:hint="eastAsia"/>
                <w:color w:val="auto"/>
                <w:szCs w:val="18"/>
                <w:highlight w:val="none"/>
                <w:lang w:val="zh-TW" w:eastAsia="zh-CN"/>
              </w:rPr>
              <w:t>降低</w:t>
            </w:r>
            <w:r>
              <w:rPr>
                <w:rFonts w:hint="eastAsia"/>
                <w:color w:val="auto"/>
                <w:szCs w:val="18"/>
                <w:highlight w:val="none"/>
                <w:lang w:val="zh-TW" w:eastAsia="zh-TW"/>
              </w:rPr>
              <w:t>（</w:t>
            </w:r>
            <w:r>
              <w:rPr>
                <w:color w:val="auto"/>
                <w:szCs w:val="18"/>
                <w:highlight w:val="none"/>
                <w:lang w:val="zh-TW" w:eastAsia="zh-TW"/>
              </w:rPr>
              <w:t>%</w:t>
            </w:r>
            <w:r>
              <w:rPr>
                <w:rFonts w:hint="eastAsia"/>
                <w:color w:val="auto"/>
                <w:szCs w:val="18"/>
                <w:highlight w:val="none"/>
                <w:lang w:val="zh-TW" w:eastAsia="zh-TW"/>
              </w:rPr>
              <w:t>）</w:t>
            </w:r>
          </w:p>
        </w:tc>
        <w:tc>
          <w:tcPr>
            <w:tcW w:w="1214" w:type="dxa"/>
            <w:tcBorders>
              <w:top w:val="single" w:color="auto" w:sz="4" w:space="0"/>
              <w:left w:val="single" w:color="auto" w:sz="4" w:space="0"/>
              <w:right w:val="single" w:color="auto" w:sz="4" w:space="0"/>
            </w:tcBorders>
            <w:vAlign w:val="center"/>
          </w:tcPr>
          <w:p w14:paraId="13477B42">
            <w:pPr>
              <w:pStyle w:val="41"/>
              <w:jc w:val="center"/>
              <w:rPr>
                <w:rFonts w:hint="default"/>
                <w:color w:val="auto"/>
                <w:szCs w:val="18"/>
                <w:highlight w:val="none"/>
                <w:lang w:val="en-US" w:eastAsia="zh-CN"/>
              </w:rPr>
            </w:pPr>
            <w:r>
              <w:rPr>
                <w:rFonts w:hint="eastAsia"/>
                <w:color w:val="auto"/>
                <w:szCs w:val="18"/>
                <w:highlight w:val="none"/>
                <w:lang w:val="en-US" w:eastAsia="zh-CN"/>
              </w:rPr>
              <w:t>5.90</w:t>
            </w:r>
          </w:p>
        </w:tc>
        <w:tc>
          <w:tcPr>
            <w:tcW w:w="1152" w:type="dxa"/>
            <w:tcBorders>
              <w:top w:val="single" w:color="auto" w:sz="4" w:space="0"/>
              <w:left w:val="single" w:color="auto" w:sz="4" w:space="0"/>
              <w:right w:val="single" w:color="auto" w:sz="4" w:space="0"/>
            </w:tcBorders>
            <w:vAlign w:val="center"/>
          </w:tcPr>
          <w:p w14:paraId="5474EDD5">
            <w:pPr>
              <w:pStyle w:val="41"/>
              <w:jc w:val="center"/>
              <w:rPr>
                <w:color w:val="auto"/>
                <w:szCs w:val="18"/>
                <w:highlight w:val="none"/>
              </w:rPr>
            </w:pPr>
            <w:r>
              <w:rPr>
                <w:rFonts w:hint="eastAsia"/>
                <w:color w:val="auto"/>
                <w:szCs w:val="18"/>
                <w:highlight w:val="none"/>
                <w:lang w:eastAsia="zh-CN"/>
              </w:rPr>
              <w:t>—</w:t>
            </w:r>
          </w:p>
        </w:tc>
        <w:tc>
          <w:tcPr>
            <w:tcW w:w="996" w:type="dxa"/>
            <w:tcBorders>
              <w:top w:val="single" w:color="auto" w:sz="4" w:space="0"/>
              <w:left w:val="single" w:color="auto" w:sz="4" w:space="0"/>
              <w:right w:val="single" w:color="auto" w:sz="4" w:space="0"/>
            </w:tcBorders>
            <w:vAlign w:val="center"/>
          </w:tcPr>
          <w:p w14:paraId="76EA6218">
            <w:pPr>
              <w:pStyle w:val="41"/>
              <w:rPr>
                <w:color w:val="auto"/>
                <w:szCs w:val="18"/>
                <w:highlight w:val="none"/>
              </w:rPr>
            </w:pPr>
            <w:r>
              <w:rPr>
                <w:rFonts w:hint="eastAsia"/>
                <w:color w:val="auto"/>
                <w:szCs w:val="18"/>
                <w:highlight w:val="none"/>
              </w:rPr>
              <w:t>完成省下达任务</w:t>
            </w:r>
          </w:p>
        </w:tc>
        <w:tc>
          <w:tcPr>
            <w:tcW w:w="1132" w:type="dxa"/>
            <w:tcBorders>
              <w:top w:val="single" w:color="auto" w:sz="4" w:space="0"/>
              <w:left w:val="single" w:color="auto" w:sz="4" w:space="0"/>
              <w:right w:val="single" w:color="auto" w:sz="4" w:space="0"/>
            </w:tcBorders>
            <w:vAlign w:val="center"/>
          </w:tcPr>
          <w:p w14:paraId="7E4D7CFD">
            <w:pPr>
              <w:pStyle w:val="41"/>
              <w:rPr>
                <w:color w:val="auto"/>
                <w:szCs w:val="18"/>
                <w:highlight w:val="none"/>
              </w:rPr>
            </w:pPr>
            <w:r>
              <w:rPr>
                <w:rFonts w:hint="eastAsia"/>
                <w:color w:val="auto"/>
                <w:szCs w:val="18"/>
                <w:highlight w:val="none"/>
              </w:rPr>
              <w:t>约束性</w:t>
            </w:r>
          </w:p>
        </w:tc>
      </w:tr>
      <w:tr w14:paraId="7D0B3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91" w:hRule="atLeast"/>
          <w:jc w:val="center"/>
        </w:trPr>
        <w:tc>
          <w:tcPr>
            <w:tcW w:w="4062" w:type="dxa"/>
            <w:vAlign w:val="center"/>
          </w:tcPr>
          <w:p w14:paraId="1692B90F">
            <w:pPr>
              <w:pStyle w:val="41"/>
              <w:jc w:val="left"/>
              <w:rPr>
                <w:color w:val="auto"/>
                <w:szCs w:val="18"/>
                <w:highlight w:val="none"/>
              </w:rPr>
            </w:pPr>
            <w:r>
              <w:rPr>
                <w:color w:val="auto"/>
                <w:szCs w:val="18"/>
                <w:highlight w:val="none"/>
              </w:rPr>
              <w:t>18</w:t>
            </w:r>
            <w:r>
              <w:rPr>
                <w:color w:val="auto"/>
                <w:szCs w:val="18"/>
                <w:highlight w:val="none"/>
                <w:lang w:val="zh-TW" w:eastAsia="zh-TW"/>
              </w:rPr>
              <w:t>.</w:t>
            </w:r>
            <w:r>
              <w:rPr>
                <w:rFonts w:hint="eastAsia"/>
                <w:color w:val="auto"/>
                <w:szCs w:val="18"/>
                <w:highlight w:val="none"/>
                <w:lang w:val="zh-TW" w:eastAsia="zh-TW"/>
              </w:rPr>
              <w:t>单位</w:t>
            </w:r>
            <w:r>
              <w:rPr>
                <w:rFonts w:hint="eastAsia"/>
                <w:color w:val="auto"/>
                <w:szCs w:val="18"/>
                <w:highlight w:val="none"/>
                <w:lang w:val="zh-TW"/>
              </w:rPr>
              <w:t>地区</w:t>
            </w:r>
            <w:r>
              <w:rPr>
                <w:rFonts w:hint="eastAsia"/>
                <w:color w:val="auto"/>
                <w:szCs w:val="18"/>
                <w:highlight w:val="none"/>
                <w:lang w:val="zh-TW" w:eastAsia="zh-TW"/>
              </w:rPr>
              <w:t>生产总值二氧化碳排放</w:t>
            </w:r>
            <w:r>
              <w:rPr>
                <w:rFonts w:hint="eastAsia"/>
                <w:color w:val="auto"/>
                <w:szCs w:val="18"/>
                <w:highlight w:val="none"/>
                <w:lang w:val="zh-TW" w:eastAsia="zh-CN"/>
              </w:rPr>
              <w:t>降低</w:t>
            </w:r>
            <w:r>
              <w:rPr>
                <w:rFonts w:hint="eastAsia"/>
                <w:color w:val="auto"/>
                <w:szCs w:val="18"/>
                <w:highlight w:val="none"/>
                <w:lang w:val="zh-TW" w:eastAsia="zh-TW"/>
              </w:rPr>
              <w:t>（</w:t>
            </w:r>
            <w:r>
              <w:rPr>
                <w:color w:val="auto"/>
                <w:szCs w:val="18"/>
                <w:highlight w:val="none"/>
                <w:lang w:val="zh-TW" w:eastAsia="zh-TW"/>
              </w:rPr>
              <w:t>%</w:t>
            </w:r>
            <w:r>
              <w:rPr>
                <w:rFonts w:hint="eastAsia"/>
                <w:color w:val="auto"/>
                <w:szCs w:val="18"/>
                <w:highlight w:val="none"/>
                <w:lang w:val="zh-TW" w:eastAsia="zh-TW"/>
              </w:rPr>
              <w:t>）</w:t>
            </w:r>
          </w:p>
        </w:tc>
        <w:tc>
          <w:tcPr>
            <w:tcW w:w="1214" w:type="dxa"/>
            <w:vAlign w:val="center"/>
          </w:tcPr>
          <w:p w14:paraId="2031FBAF">
            <w:pPr>
              <w:pStyle w:val="41"/>
              <w:rPr>
                <w:rFonts w:ascii="Times New Roman" w:hAnsi="Times New Roman" w:eastAsia="宋体" w:cs="Times New Roman"/>
                <w:color w:val="auto"/>
                <w:kern w:val="2"/>
                <w:sz w:val="18"/>
                <w:szCs w:val="18"/>
                <w:highlight w:val="none"/>
                <w:lang w:val="en-US" w:eastAsia="zh-CN" w:bidi="ar-SA"/>
              </w:rPr>
            </w:pPr>
            <w:r>
              <w:rPr>
                <w:rFonts w:hint="eastAsia"/>
                <w:color w:val="auto"/>
                <w:szCs w:val="18"/>
                <w:highlight w:val="none"/>
                <w:lang w:eastAsia="zh-CN"/>
              </w:rPr>
              <w:t>—</w:t>
            </w:r>
          </w:p>
        </w:tc>
        <w:tc>
          <w:tcPr>
            <w:tcW w:w="1152" w:type="dxa"/>
            <w:vAlign w:val="center"/>
          </w:tcPr>
          <w:p w14:paraId="38F10248">
            <w:pPr>
              <w:pStyle w:val="41"/>
              <w:jc w:val="center"/>
              <w:rPr>
                <w:color w:val="auto"/>
                <w:szCs w:val="18"/>
                <w:highlight w:val="none"/>
              </w:rPr>
            </w:pPr>
            <w:r>
              <w:rPr>
                <w:rFonts w:hint="eastAsia"/>
                <w:color w:val="auto"/>
                <w:szCs w:val="18"/>
                <w:highlight w:val="none"/>
                <w:lang w:eastAsia="zh-CN"/>
              </w:rPr>
              <w:t>—</w:t>
            </w:r>
          </w:p>
        </w:tc>
        <w:tc>
          <w:tcPr>
            <w:tcW w:w="996" w:type="dxa"/>
            <w:vAlign w:val="center"/>
          </w:tcPr>
          <w:p w14:paraId="0A5F109F">
            <w:pPr>
              <w:pStyle w:val="41"/>
              <w:rPr>
                <w:color w:val="auto"/>
                <w:szCs w:val="18"/>
                <w:highlight w:val="none"/>
              </w:rPr>
            </w:pPr>
            <w:r>
              <w:rPr>
                <w:rFonts w:hint="eastAsia"/>
                <w:color w:val="auto"/>
                <w:szCs w:val="18"/>
                <w:highlight w:val="none"/>
              </w:rPr>
              <w:t>完成省下达任务</w:t>
            </w:r>
          </w:p>
        </w:tc>
        <w:tc>
          <w:tcPr>
            <w:tcW w:w="1132" w:type="dxa"/>
            <w:vAlign w:val="center"/>
          </w:tcPr>
          <w:p w14:paraId="04500719">
            <w:pPr>
              <w:pStyle w:val="41"/>
              <w:rPr>
                <w:color w:val="auto"/>
                <w:szCs w:val="18"/>
                <w:highlight w:val="none"/>
              </w:rPr>
            </w:pPr>
            <w:r>
              <w:rPr>
                <w:rFonts w:hint="eastAsia"/>
                <w:color w:val="auto"/>
                <w:szCs w:val="18"/>
                <w:highlight w:val="none"/>
              </w:rPr>
              <w:t>约束性</w:t>
            </w:r>
          </w:p>
        </w:tc>
      </w:tr>
      <w:tr w14:paraId="1E8DA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91" w:hRule="atLeast"/>
          <w:jc w:val="center"/>
        </w:trPr>
        <w:tc>
          <w:tcPr>
            <w:tcW w:w="4062" w:type="dxa"/>
            <w:vAlign w:val="center"/>
          </w:tcPr>
          <w:p w14:paraId="1D53E43C">
            <w:pPr>
              <w:pStyle w:val="41"/>
              <w:jc w:val="left"/>
              <w:rPr>
                <w:color w:val="auto"/>
                <w:szCs w:val="18"/>
                <w:highlight w:val="none"/>
              </w:rPr>
            </w:pPr>
            <w:r>
              <w:rPr>
                <w:color w:val="auto"/>
                <w:szCs w:val="18"/>
                <w:highlight w:val="none"/>
              </w:rPr>
              <w:t>19</w:t>
            </w:r>
            <w:r>
              <w:rPr>
                <w:color w:val="auto"/>
                <w:szCs w:val="18"/>
                <w:highlight w:val="none"/>
                <w:lang w:val="zh-TW" w:eastAsia="zh-TW"/>
              </w:rPr>
              <w:t>.</w:t>
            </w:r>
            <w:r>
              <w:rPr>
                <w:rFonts w:hint="eastAsia"/>
                <w:color w:val="auto"/>
                <w:szCs w:val="18"/>
                <w:highlight w:val="none"/>
                <w:lang w:val="zh-TW" w:eastAsia="zh-CN"/>
              </w:rPr>
              <w:t>地级城市空气质量</w:t>
            </w:r>
            <w:r>
              <w:rPr>
                <w:rFonts w:hint="eastAsia"/>
                <w:color w:val="auto"/>
                <w:szCs w:val="18"/>
                <w:highlight w:val="none"/>
                <w:lang w:val="zh-TW" w:eastAsia="zh-TW"/>
              </w:rPr>
              <w:t>优良天数</w:t>
            </w:r>
            <w:r>
              <w:rPr>
                <w:rFonts w:hint="eastAsia"/>
                <w:color w:val="auto"/>
                <w:szCs w:val="18"/>
                <w:highlight w:val="none"/>
                <w:lang w:val="zh-TW" w:eastAsia="zh-CN"/>
              </w:rPr>
              <w:t>比率</w:t>
            </w:r>
            <w:r>
              <w:rPr>
                <w:rFonts w:hint="eastAsia"/>
                <w:color w:val="auto"/>
                <w:szCs w:val="18"/>
                <w:highlight w:val="none"/>
                <w:lang w:val="zh-TW" w:eastAsia="zh-TW"/>
              </w:rPr>
              <w:t>（</w:t>
            </w:r>
            <w:r>
              <w:rPr>
                <w:color w:val="auto"/>
                <w:szCs w:val="18"/>
                <w:highlight w:val="none"/>
                <w:lang w:val="zh-TW" w:eastAsia="zh-TW"/>
              </w:rPr>
              <w:t>%</w:t>
            </w:r>
            <w:r>
              <w:rPr>
                <w:rFonts w:hint="eastAsia"/>
                <w:color w:val="auto"/>
                <w:szCs w:val="18"/>
                <w:highlight w:val="none"/>
                <w:lang w:val="zh-TW" w:eastAsia="zh-TW"/>
              </w:rPr>
              <w:t>）</w:t>
            </w:r>
          </w:p>
        </w:tc>
        <w:tc>
          <w:tcPr>
            <w:tcW w:w="1214" w:type="dxa"/>
            <w:vAlign w:val="center"/>
          </w:tcPr>
          <w:p w14:paraId="7BEBC75C">
            <w:pPr>
              <w:pStyle w:val="41"/>
              <w:jc w:val="center"/>
              <w:rPr>
                <w:rFonts w:hint="eastAsia"/>
                <w:color w:val="auto"/>
                <w:szCs w:val="18"/>
                <w:highlight w:val="none"/>
                <w:lang w:eastAsia="zh-CN"/>
              </w:rPr>
            </w:pPr>
            <w:r>
              <w:rPr>
                <w:color w:val="auto"/>
                <w:szCs w:val="18"/>
                <w:highlight w:val="none"/>
              </w:rPr>
              <w:t>81.1</w:t>
            </w:r>
          </w:p>
        </w:tc>
        <w:tc>
          <w:tcPr>
            <w:tcW w:w="1152" w:type="dxa"/>
            <w:vAlign w:val="center"/>
          </w:tcPr>
          <w:p w14:paraId="1D53EB4E">
            <w:pPr>
              <w:pStyle w:val="41"/>
              <w:jc w:val="center"/>
              <w:rPr>
                <w:color w:val="auto"/>
                <w:szCs w:val="18"/>
                <w:highlight w:val="none"/>
              </w:rPr>
            </w:pPr>
            <w:r>
              <w:rPr>
                <w:rFonts w:hint="eastAsia"/>
                <w:color w:val="auto"/>
                <w:szCs w:val="18"/>
                <w:highlight w:val="none"/>
                <w:lang w:eastAsia="zh-CN"/>
              </w:rPr>
              <w:t>—</w:t>
            </w:r>
          </w:p>
        </w:tc>
        <w:tc>
          <w:tcPr>
            <w:tcW w:w="996" w:type="dxa"/>
            <w:vAlign w:val="center"/>
          </w:tcPr>
          <w:p w14:paraId="475DA5CA">
            <w:pPr>
              <w:pStyle w:val="41"/>
              <w:rPr>
                <w:color w:val="auto"/>
                <w:szCs w:val="18"/>
                <w:highlight w:val="none"/>
              </w:rPr>
            </w:pPr>
            <w:r>
              <w:rPr>
                <w:rFonts w:hint="eastAsia"/>
                <w:color w:val="auto"/>
                <w:szCs w:val="18"/>
                <w:highlight w:val="none"/>
              </w:rPr>
              <w:t>完成省下达任务</w:t>
            </w:r>
          </w:p>
        </w:tc>
        <w:tc>
          <w:tcPr>
            <w:tcW w:w="1132" w:type="dxa"/>
            <w:vAlign w:val="center"/>
          </w:tcPr>
          <w:p w14:paraId="7AF9FA7F">
            <w:pPr>
              <w:pStyle w:val="41"/>
              <w:rPr>
                <w:color w:val="auto"/>
                <w:szCs w:val="18"/>
                <w:highlight w:val="none"/>
              </w:rPr>
            </w:pPr>
            <w:r>
              <w:rPr>
                <w:rFonts w:hint="eastAsia"/>
                <w:color w:val="auto"/>
                <w:szCs w:val="18"/>
                <w:highlight w:val="none"/>
              </w:rPr>
              <w:t>约束性</w:t>
            </w:r>
          </w:p>
        </w:tc>
      </w:tr>
      <w:tr w14:paraId="12A0B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92" w:hRule="atLeast"/>
          <w:jc w:val="center"/>
        </w:trPr>
        <w:tc>
          <w:tcPr>
            <w:tcW w:w="4062" w:type="dxa"/>
            <w:vAlign w:val="center"/>
          </w:tcPr>
          <w:p w14:paraId="1C3626C7">
            <w:pPr>
              <w:pStyle w:val="41"/>
              <w:jc w:val="left"/>
              <w:rPr>
                <w:color w:val="auto"/>
                <w:szCs w:val="18"/>
                <w:highlight w:val="none"/>
              </w:rPr>
            </w:pPr>
            <w:r>
              <w:rPr>
                <w:color w:val="auto"/>
                <w:szCs w:val="18"/>
                <w:highlight w:val="none"/>
              </w:rPr>
              <w:t>20</w:t>
            </w:r>
            <w:r>
              <w:rPr>
                <w:color w:val="auto"/>
                <w:szCs w:val="18"/>
                <w:highlight w:val="none"/>
                <w:lang w:val="zh-TW" w:eastAsia="zh-TW"/>
              </w:rPr>
              <w:t>.</w:t>
            </w:r>
            <w:r>
              <w:rPr>
                <w:rFonts w:hint="eastAsia"/>
                <w:color w:val="auto"/>
                <w:szCs w:val="18"/>
                <w:highlight w:val="none"/>
                <w:lang w:val="zh-TW" w:eastAsia="zh-CN"/>
              </w:rPr>
              <w:t>地级城市细微颗粒物（</w:t>
            </w:r>
            <w:r>
              <w:rPr>
                <w:color w:val="auto"/>
                <w:szCs w:val="18"/>
                <w:highlight w:val="none"/>
                <w:lang w:val="zh-TW" w:eastAsia="zh-TW"/>
              </w:rPr>
              <w:t>PM</w:t>
            </w:r>
            <w:r>
              <w:rPr>
                <w:color w:val="auto"/>
                <w:szCs w:val="18"/>
                <w:highlight w:val="none"/>
                <w:vertAlign w:val="subscript"/>
                <w:lang w:val="zh-TW" w:eastAsia="zh-TW"/>
              </w:rPr>
              <w:t>2.5</w:t>
            </w:r>
            <w:r>
              <w:rPr>
                <w:rFonts w:hint="eastAsia"/>
                <w:color w:val="auto"/>
                <w:szCs w:val="18"/>
                <w:highlight w:val="none"/>
                <w:lang w:val="zh-TW" w:eastAsia="zh-CN"/>
              </w:rPr>
              <w:t>）</w:t>
            </w:r>
            <w:r>
              <w:rPr>
                <w:rFonts w:hint="eastAsia"/>
                <w:color w:val="auto"/>
                <w:szCs w:val="18"/>
                <w:highlight w:val="none"/>
                <w:lang w:val="zh-TW" w:eastAsia="zh-TW"/>
              </w:rPr>
              <w:t>浓度</w:t>
            </w:r>
            <w:r>
              <w:rPr>
                <w:rFonts w:hint="eastAsia"/>
                <w:color w:val="auto"/>
                <w:szCs w:val="18"/>
                <w:highlight w:val="none"/>
                <w:lang w:val="zh-TW" w:eastAsia="zh-CN"/>
              </w:rPr>
              <w:t>降低</w:t>
            </w:r>
            <w:r>
              <w:rPr>
                <w:rFonts w:hint="eastAsia"/>
                <w:color w:val="auto"/>
                <w:szCs w:val="18"/>
                <w:highlight w:val="none"/>
                <w:lang w:val="zh-TW" w:eastAsia="zh-TW"/>
              </w:rPr>
              <w:t>（</w:t>
            </w:r>
            <w:r>
              <w:rPr>
                <w:color w:val="auto"/>
                <w:szCs w:val="18"/>
                <w:highlight w:val="none"/>
                <w:lang w:val="zh-TW" w:eastAsia="zh-TW"/>
              </w:rPr>
              <w:t>%</w:t>
            </w:r>
            <w:r>
              <w:rPr>
                <w:rFonts w:hint="eastAsia"/>
                <w:color w:val="auto"/>
                <w:szCs w:val="18"/>
                <w:highlight w:val="none"/>
                <w:lang w:val="zh-TW" w:eastAsia="zh-TW"/>
              </w:rPr>
              <w:t>）</w:t>
            </w:r>
          </w:p>
        </w:tc>
        <w:tc>
          <w:tcPr>
            <w:tcW w:w="1214" w:type="dxa"/>
            <w:vAlign w:val="center"/>
          </w:tcPr>
          <w:p w14:paraId="1451E276">
            <w:pPr>
              <w:pStyle w:val="41"/>
              <w:jc w:val="center"/>
              <w:rPr>
                <w:rFonts w:hint="default"/>
                <w:color w:val="auto"/>
                <w:szCs w:val="18"/>
                <w:highlight w:val="none"/>
                <w:lang w:val="en-US" w:eastAsia="zh-CN"/>
              </w:rPr>
            </w:pPr>
            <w:r>
              <w:rPr>
                <w:rFonts w:hint="eastAsia"/>
                <w:color w:val="auto"/>
                <w:szCs w:val="18"/>
                <w:highlight w:val="none"/>
                <w:lang w:val="en-US" w:eastAsia="zh-CN"/>
              </w:rPr>
              <w:t>17</w:t>
            </w:r>
          </w:p>
        </w:tc>
        <w:tc>
          <w:tcPr>
            <w:tcW w:w="1152" w:type="dxa"/>
            <w:vAlign w:val="center"/>
          </w:tcPr>
          <w:p w14:paraId="4602A2D1">
            <w:pPr>
              <w:pStyle w:val="41"/>
              <w:jc w:val="center"/>
              <w:rPr>
                <w:color w:val="auto"/>
                <w:szCs w:val="18"/>
                <w:highlight w:val="none"/>
              </w:rPr>
            </w:pPr>
            <w:r>
              <w:rPr>
                <w:rFonts w:hint="eastAsia"/>
                <w:color w:val="auto"/>
                <w:szCs w:val="18"/>
                <w:highlight w:val="none"/>
                <w:lang w:eastAsia="zh-CN"/>
              </w:rPr>
              <w:t>—</w:t>
            </w:r>
          </w:p>
        </w:tc>
        <w:tc>
          <w:tcPr>
            <w:tcW w:w="996" w:type="dxa"/>
            <w:vAlign w:val="center"/>
          </w:tcPr>
          <w:p w14:paraId="19BE9A7B">
            <w:pPr>
              <w:pStyle w:val="41"/>
              <w:rPr>
                <w:color w:val="auto"/>
                <w:szCs w:val="18"/>
                <w:highlight w:val="none"/>
              </w:rPr>
            </w:pPr>
            <w:r>
              <w:rPr>
                <w:rFonts w:hint="eastAsia"/>
                <w:color w:val="auto"/>
                <w:szCs w:val="18"/>
                <w:highlight w:val="none"/>
              </w:rPr>
              <w:t>完成省下达任务</w:t>
            </w:r>
          </w:p>
        </w:tc>
        <w:tc>
          <w:tcPr>
            <w:tcW w:w="1132" w:type="dxa"/>
            <w:vAlign w:val="center"/>
          </w:tcPr>
          <w:p w14:paraId="5E3C3F49">
            <w:pPr>
              <w:pStyle w:val="41"/>
              <w:rPr>
                <w:color w:val="auto"/>
                <w:szCs w:val="18"/>
                <w:highlight w:val="none"/>
              </w:rPr>
            </w:pPr>
            <w:r>
              <w:rPr>
                <w:rFonts w:hint="eastAsia"/>
                <w:color w:val="auto"/>
                <w:szCs w:val="18"/>
                <w:highlight w:val="none"/>
              </w:rPr>
              <w:t>约束性</w:t>
            </w:r>
          </w:p>
        </w:tc>
      </w:tr>
      <w:tr w14:paraId="5EB0B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8" w:hRule="atLeast"/>
          <w:jc w:val="center"/>
        </w:trPr>
        <w:tc>
          <w:tcPr>
            <w:tcW w:w="4062" w:type="dxa"/>
            <w:vAlign w:val="center"/>
          </w:tcPr>
          <w:p w14:paraId="5FE086EE">
            <w:pPr>
              <w:pStyle w:val="41"/>
              <w:jc w:val="left"/>
              <w:rPr>
                <w:color w:val="auto"/>
                <w:szCs w:val="18"/>
                <w:highlight w:val="none"/>
              </w:rPr>
            </w:pPr>
            <w:r>
              <w:rPr>
                <w:color w:val="auto"/>
                <w:szCs w:val="18"/>
                <w:highlight w:val="none"/>
              </w:rPr>
              <w:t>21</w:t>
            </w:r>
            <w:r>
              <w:rPr>
                <w:color w:val="auto"/>
                <w:szCs w:val="18"/>
                <w:highlight w:val="none"/>
                <w:lang w:val="zh-TW" w:eastAsia="zh-TW"/>
              </w:rPr>
              <w:t>.</w:t>
            </w:r>
            <w:r>
              <w:rPr>
                <w:rFonts w:hint="eastAsia"/>
                <w:color w:val="auto"/>
                <w:szCs w:val="18"/>
                <w:highlight w:val="none"/>
                <w:lang w:val="zh-TW" w:eastAsia="zh-TW"/>
              </w:rPr>
              <w:t>地下水压采</w:t>
            </w:r>
            <w:r>
              <w:rPr>
                <w:rFonts w:hint="eastAsia"/>
                <w:color w:val="auto"/>
                <w:szCs w:val="18"/>
                <w:highlight w:val="none"/>
                <w:lang w:val="zh-TW"/>
              </w:rPr>
              <w:t>量</w:t>
            </w:r>
            <w:r>
              <w:rPr>
                <w:rFonts w:hint="eastAsia"/>
                <w:color w:val="auto"/>
                <w:szCs w:val="18"/>
                <w:highlight w:val="none"/>
                <w:lang w:val="zh-TW" w:eastAsia="zh-TW"/>
              </w:rPr>
              <w:t>（亿立方米）</w:t>
            </w:r>
          </w:p>
        </w:tc>
        <w:tc>
          <w:tcPr>
            <w:tcW w:w="1214" w:type="dxa"/>
            <w:vAlign w:val="center"/>
          </w:tcPr>
          <w:p w14:paraId="0C0A16B1">
            <w:pPr>
              <w:pStyle w:val="41"/>
              <w:jc w:val="center"/>
              <w:rPr>
                <w:color w:val="auto"/>
                <w:szCs w:val="18"/>
                <w:highlight w:val="none"/>
              </w:rPr>
            </w:pPr>
            <w:r>
              <w:rPr>
                <w:color w:val="auto"/>
                <w:szCs w:val="18"/>
                <w:highlight w:val="none"/>
              </w:rPr>
              <w:t>0.01</w:t>
            </w:r>
          </w:p>
        </w:tc>
        <w:tc>
          <w:tcPr>
            <w:tcW w:w="1152" w:type="dxa"/>
            <w:vAlign w:val="center"/>
          </w:tcPr>
          <w:p w14:paraId="56C0412E">
            <w:pPr>
              <w:pStyle w:val="41"/>
              <w:jc w:val="center"/>
              <w:rPr>
                <w:color w:val="auto"/>
                <w:szCs w:val="18"/>
                <w:highlight w:val="none"/>
              </w:rPr>
            </w:pPr>
            <w:r>
              <w:rPr>
                <w:color w:val="auto"/>
                <w:szCs w:val="18"/>
                <w:highlight w:val="none"/>
              </w:rPr>
              <w:t>0.03</w:t>
            </w:r>
          </w:p>
        </w:tc>
        <w:tc>
          <w:tcPr>
            <w:tcW w:w="996" w:type="dxa"/>
            <w:vAlign w:val="center"/>
          </w:tcPr>
          <w:p w14:paraId="65ABA8C8">
            <w:pPr>
              <w:pStyle w:val="41"/>
              <w:rPr>
                <w:color w:val="auto"/>
                <w:szCs w:val="18"/>
                <w:highlight w:val="none"/>
              </w:rPr>
            </w:pPr>
            <w:r>
              <w:rPr>
                <w:color w:val="auto"/>
                <w:szCs w:val="18"/>
                <w:highlight w:val="none"/>
              </w:rPr>
              <w:t>[ 0.02 ]</w:t>
            </w:r>
          </w:p>
        </w:tc>
        <w:tc>
          <w:tcPr>
            <w:tcW w:w="1132" w:type="dxa"/>
            <w:vAlign w:val="center"/>
          </w:tcPr>
          <w:p w14:paraId="4A2F6F67">
            <w:pPr>
              <w:pStyle w:val="41"/>
              <w:rPr>
                <w:color w:val="auto"/>
                <w:szCs w:val="18"/>
                <w:highlight w:val="none"/>
              </w:rPr>
            </w:pPr>
            <w:r>
              <w:rPr>
                <w:rFonts w:hint="eastAsia"/>
                <w:color w:val="auto"/>
                <w:szCs w:val="18"/>
                <w:highlight w:val="none"/>
              </w:rPr>
              <w:t>约束性</w:t>
            </w:r>
          </w:p>
        </w:tc>
      </w:tr>
      <w:tr w14:paraId="103E7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91" w:hRule="atLeast"/>
          <w:jc w:val="center"/>
        </w:trPr>
        <w:tc>
          <w:tcPr>
            <w:tcW w:w="4062" w:type="dxa"/>
            <w:vAlign w:val="center"/>
          </w:tcPr>
          <w:p w14:paraId="4C912224">
            <w:pPr>
              <w:pStyle w:val="41"/>
              <w:jc w:val="left"/>
              <w:rPr>
                <w:color w:val="auto"/>
                <w:szCs w:val="18"/>
                <w:highlight w:val="none"/>
              </w:rPr>
            </w:pPr>
            <w:r>
              <w:rPr>
                <w:color w:val="auto"/>
                <w:szCs w:val="18"/>
                <w:highlight w:val="none"/>
              </w:rPr>
              <w:t>22</w:t>
            </w:r>
            <w:r>
              <w:rPr>
                <w:color w:val="auto"/>
                <w:szCs w:val="18"/>
                <w:highlight w:val="none"/>
                <w:lang w:val="zh-TW" w:eastAsia="zh-TW"/>
              </w:rPr>
              <w:t>.</w:t>
            </w:r>
            <w:r>
              <w:rPr>
                <w:rFonts w:hint="eastAsia"/>
                <w:color w:val="auto"/>
                <w:szCs w:val="18"/>
                <w:highlight w:val="none"/>
                <w:lang w:val="zh-TW" w:eastAsia="zh-CN"/>
              </w:rPr>
              <w:t>地表水</w:t>
            </w:r>
            <w:r>
              <w:rPr>
                <w:rFonts w:hint="eastAsia"/>
                <w:color w:val="auto"/>
                <w:szCs w:val="18"/>
                <w:highlight w:val="none"/>
                <w:lang w:val="zh-TW" w:eastAsia="zh-TW"/>
              </w:rPr>
              <w:t>达到或好于</w:t>
            </w:r>
            <w:r>
              <w:rPr>
                <w:rFonts w:hint="eastAsia" w:ascii="宋体" w:hAnsi="宋体" w:cs="宋体"/>
                <w:color w:val="auto"/>
                <w:szCs w:val="18"/>
                <w:highlight w:val="none"/>
                <w:lang w:val="zh-TW" w:eastAsia="zh-TW"/>
              </w:rPr>
              <w:t>Ⅲ</w:t>
            </w:r>
            <w:r>
              <w:rPr>
                <w:rFonts w:hint="eastAsia"/>
                <w:color w:val="auto"/>
                <w:szCs w:val="18"/>
                <w:highlight w:val="none"/>
                <w:lang w:val="zh-TW" w:eastAsia="zh-TW"/>
              </w:rPr>
              <w:t>类水体比例（</w:t>
            </w:r>
            <w:r>
              <w:rPr>
                <w:color w:val="auto"/>
                <w:szCs w:val="18"/>
                <w:highlight w:val="none"/>
                <w:lang w:val="zh-TW" w:eastAsia="zh-TW"/>
              </w:rPr>
              <w:t>%</w:t>
            </w:r>
            <w:r>
              <w:rPr>
                <w:rFonts w:hint="eastAsia"/>
                <w:color w:val="auto"/>
                <w:szCs w:val="18"/>
                <w:highlight w:val="none"/>
                <w:lang w:val="zh-TW" w:eastAsia="zh-TW"/>
              </w:rPr>
              <w:t>）</w:t>
            </w:r>
          </w:p>
        </w:tc>
        <w:tc>
          <w:tcPr>
            <w:tcW w:w="1214" w:type="dxa"/>
            <w:vAlign w:val="center"/>
          </w:tcPr>
          <w:p w14:paraId="565B67E9">
            <w:pPr>
              <w:pStyle w:val="41"/>
              <w:rPr>
                <w:rFonts w:ascii="Times New Roman" w:hAnsi="Times New Roman" w:eastAsia="宋体" w:cs="Times New Roman"/>
                <w:color w:val="auto"/>
                <w:kern w:val="2"/>
                <w:sz w:val="18"/>
                <w:szCs w:val="18"/>
                <w:highlight w:val="none"/>
                <w:lang w:val="en-US" w:eastAsia="zh-CN" w:bidi="ar-SA"/>
              </w:rPr>
            </w:pPr>
            <w:r>
              <w:rPr>
                <w:rFonts w:hint="eastAsia"/>
                <w:color w:val="auto"/>
                <w:szCs w:val="18"/>
                <w:highlight w:val="none"/>
                <w:lang w:eastAsia="zh-CN"/>
              </w:rPr>
              <w:t>—</w:t>
            </w:r>
          </w:p>
        </w:tc>
        <w:tc>
          <w:tcPr>
            <w:tcW w:w="1152" w:type="dxa"/>
            <w:vAlign w:val="center"/>
          </w:tcPr>
          <w:p w14:paraId="54C78B36">
            <w:pPr>
              <w:pStyle w:val="41"/>
              <w:jc w:val="center"/>
              <w:rPr>
                <w:color w:val="auto"/>
                <w:szCs w:val="18"/>
                <w:highlight w:val="none"/>
              </w:rPr>
            </w:pPr>
            <w:r>
              <w:rPr>
                <w:rFonts w:hint="eastAsia"/>
                <w:color w:val="auto"/>
                <w:szCs w:val="18"/>
                <w:highlight w:val="none"/>
                <w:lang w:eastAsia="zh-CN"/>
              </w:rPr>
              <w:t>—</w:t>
            </w:r>
          </w:p>
        </w:tc>
        <w:tc>
          <w:tcPr>
            <w:tcW w:w="996" w:type="dxa"/>
            <w:vAlign w:val="center"/>
          </w:tcPr>
          <w:p w14:paraId="2D422F56">
            <w:pPr>
              <w:pStyle w:val="41"/>
              <w:rPr>
                <w:color w:val="auto"/>
                <w:szCs w:val="18"/>
                <w:highlight w:val="none"/>
              </w:rPr>
            </w:pPr>
            <w:r>
              <w:rPr>
                <w:rFonts w:hint="eastAsia"/>
                <w:color w:val="auto"/>
                <w:szCs w:val="18"/>
                <w:highlight w:val="none"/>
              </w:rPr>
              <w:t>完成省下达任务</w:t>
            </w:r>
          </w:p>
        </w:tc>
        <w:tc>
          <w:tcPr>
            <w:tcW w:w="1132" w:type="dxa"/>
            <w:vAlign w:val="center"/>
          </w:tcPr>
          <w:p w14:paraId="1A40111F">
            <w:pPr>
              <w:pStyle w:val="41"/>
              <w:rPr>
                <w:color w:val="auto"/>
                <w:szCs w:val="18"/>
                <w:highlight w:val="none"/>
              </w:rPr>
            </w:pPr>
            <w:r>
              <w:rPr>
                <w:rFonts w:hint="eastAsia"/>
                <w:color w:val="auto"/>
                <w:szCs w:val="18"/>
                <w:highlight w:val="none"/>
              </w:rPr>
              <w:t>约束性</w:t>
            </w:r>
          </w:p>
        </w:tc>
      </w:tr>
      <w:tr w14:paraId="1E420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8" w:hRule="atLeast"/>
          <w:jc w:val="center"/>
        </w:trPr>
        <w:tc>
          <w:tcPr>
            <w:tcW w:w="4062" w:type="dxa"/>
            <w:vAlign w:val="center"/>
          </w:tcPr>
          <w:p w14:paraId="0CDD8F11">
            <w:pPr>
              <w:pStyle w:val="41"/>
              <w:jc w:val="left"/>
              <w:rPr>
                <w:color w:val="auto"/>
                <w:szCs w:val="18"/>
                <w:highlight w:val="none"/>
              </w:rPr>
            </w:pPr>
            <w:r>
              <w:rPr>
                <w:color w:val="auto"/>
                <w:szCs w:val="18"/>
                <w:highlight w:val="none"/>
                <w:lang w:val="zh-TW" w:eastAsia="zh-TW"/>
              </w:rPr>
              <w:t>2</w:t>
            </w:r>
            <w:r>
              <w:rPr>
                <w:color w:val="auto"/>
                <w:szCs w:val="18"/>
                <w:highlight w:val="none"/>
              </w:rPr>
              <w:t>3</w:t>
            </w:r>
            <w:r>
              <w:rPr>
                <w:color w:val="auto"/>
                <w:szCs w:val="18"/>
                <w:highlight w:val="none"/>
                <w:lang w:val="zh-TW" w:eastAsia="zh-TW"/>
              </w:rPr>
              <w:t>.</w:t>
            </w:r>
            <w:r>
              <w:rPr>
                <w:rFonts w:hint="eastAsia"/>
                <w:color w:val="auto"/>
                <w:szCs w:val="18"/>
                <w:highlight w:val="none"/>
                <w:lang w:val="zh-TW" w:eastAsia="zh-CN"/>
              </w:rPr>
              <w:t>林木</w:t>
            </w:r>
            <w:r>
              <w:rPr>
                <w:rFonts w:hint="eastAsia"/>
                <w:color w:val="auto"/>
                <w:szCs w:val="18"/>
                <w:highlight w:val="none"/>
                <w:lang w:val="zh-TW" w:eastAsia="zh-TW"/>
              </w:rPr>
              <w:t>覆盖率（</w:t>
            </w:r>
            <w:r>
              <w:rPr>
                <w:color w:val="auto"/>
                <w:szCs w:val="18"/>
                <w:highlight w:val="none"/>
                <w:lang w:val="zh-TW" w:eastAsia="zh-TW"/>
              </w:rPr>
              <w:t>%</w:t>
            </w:r>
            <w:r>
              <w:rPr>
                <w:rFonts w:hint="eastAsia"/>
                <w:color w:val="auto"/>
                <w:szCs w:val="18"/>
                <w:highlight w:val="none"/>
                <w:lang w:val="zh-TW" w:eastAsia="zh-TW"/>
              </w:rPr>
              <w:t>）</w:t>
            </w:r>
          </w:p>
        </w:tc>
        <w:tc>
          <w:tcPr>
            <w:tcW w:w="1214" w:type="dxa"/>
            <w:vAlign w:val="center"/>
          </w:tcPr>
          <w:p w14:paraId="48D94D7D">
            <w:pPr>
              <w:pStyle w:val="41"/>
              <w:jc w:val="center"/>
              <w:rPr>
                <w:color w:val="auto"/>
                <w:szCs w:val="18"/>
                <w:highlight w:val="none"/>
              </w:rPr>
            </w:pPr>
            <w:r>
              <w:rPr>
                <w:color w:val="auto"/>
                <w:szCs w:val="18"/>
                <w:highlight w:val="none"/>
              </w:rPr>
              <w:t>60</w:t>
            </w:r>
          </w:p>
        </w:tc>
        <w:tc>
          <w:tcPr>
            <w:tcW w:w="1152" w:type="dxa"/>
            <w:vAlign w:val="center"/>
          </w:tcPr>
          <w:p w14:paraId="42F42FB8">
            <w:pPr>
              <w:pStyle w:val="41"/>
              <w:jc w:val="center"/>
              <w:rPr>
                <w:color w:val="auto"/>
                <w:szCs w:val="18"/>
                <w:highlight w:val="none"/>
              </w:rPr>
            </w:pPr>
            <w:r>
              <w:rPr>
                <w:color w:val="auto"/>
                <w:szCs w:val="18"/>
                <w:highlight w:val="none"/>
              </w:rPr>
              <w:t>60</w:t>
            </w:r>
          </w:p>
        </w:tc>
        <w:tc>
          <w:tcPr>
            <w:tcW w:w="996" w:type="dxa"/>
            <w:vAlign w:val="center"/>
          </w:tcPr>
          <w:p w14:paraId="7D002618">
            <w:pPr>
              <w:pStyle w:val="41"/>
              <w:rPr>
                <w:color w:val="auto"/>
                <w:szCs w:val="18"/>
                <w:highlight w:val="none"/>
              </w:rPr>
            </w:pPr>
          </w:p>
        </w:tc>
        <w:tc>
          <w:tcPr>
            <w:tcW w:w="1132" w:type="dxa"/>
            <w:vAlign w:val="center"/>
          </w:tcPr>
          <w:p w14:paraId="5B4873C2">
            <w:pPr>
              <w:pStyle w:val="41"/>
              <w:rPr>
                <w:color w:val="auto"/>
                <w:szCs w:val="18"/>
                <w:highlight w:val="none"/>
              </w:rPr>
            </w:pPr>
            <w:r>
              <w:rPr>
                <w:rFonts w:hint="eastAsia"/>
                <w:color w:val="auto"/>
                <w:szCs w:val="18"/>
                <w:highlight w:val="none"/>
              </w:rPr>
              <w:t>约束性</w:t>
            </w:r>
          </w:p>
        </w:tc>
      </w:tr>
      <w:tr w14:paraId="1179F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8" w:hRule="atLeast"/>
          <w:jc w:val="center"/>
        </w:trPr>
        <w:tc>
          <w:tcPr>
            <w:tcW w:w="4062" w:type="dxa"/>
            <w:vAlign w:val="center"/>
          </w:tcPr>
          <w:p w14:paraId="6CD722E5">
            <w:pPr>
              <w:pStyle w:val="41"/>
              <w:jc w:val="left"/>
              <w:rPr>
                <w:b/>
                <w:bCs/>
                <w:color w:val="auto"/>
                <w:szCs w:val="18"/>
                <w:highlight w:val="none"/>
                <w:lang w:val="zh-TW" w:eastAsia="zh-TW"/>
              </w:rPr>
            </w:pPr>
            <w:r>
              <w:rPr>
                <w:rFonts w:hint="eastAsia" w:ascii="宋体" w:hAnsi="宋体" w:cs="宋体"/>
                <w:b/>
                <w:bCs/>
                <w:color w:val="auto"/>
                <w:szCs w:val="18"/>
                <w:highlight w:val="none"/>
              </w:rPr>
              <w:t>※</w:t>
            </w:r>
            <w:r>
              <w:rPr>
                <w:rFonts w:hint="eastAsia"/>
                <w:b/>
                <w:bCs/>
                <w:color w:val="auto"/>
                <w:szCs w:val="18"/>
                <w:highlight w:val="none"/>
                <w:lang w:val="zh-TW" w:eastAsia="zh-TW"/>
              </w:rPr>
              <w:t>安全</w:t>
            </w:r>
            <w:r>
              <w:rPr>
                <w:rFonts w:hint="eastAsia"/>
                <w:b/>
                <w:bCs/>
                <w:color w:val="auto"/>
                <w:szCs w:val="18"/>
                <w:highlight w:val="none"/>
                <w:lang w:val="zh-TW"/>
              </w:rPr>
              <w:t>保障</w:t>
            </w:r>
            <w:r>
              <w:rPr>
                <w:rFonts w:hint="eastAsia"/>
                <w:b/>
                <w:bCs/>
                <w:color w:val="auto"/>
                <w:szCs w:val="18"/>
                <w:highlight w:val="none"/>
                <w:lang w:val="zh-TW" w:eastAsia="zh-TW"/>
              </w:rPr>
              <w:t>（</w:t>
            </w:r>
            <w:r>
              <w:rPr>
                <w:b/>
                <w:bCs/>
                <w:color w:val="auto"/>
                <w:szCs w:val="18"/>
                <w:highlight w:val="none"/>
              </w:rPr>
              <w:t>2</w:t>
            </w:r>
            <w:r>
              <w:rPr>
                <w:rFonts w:hint="eastAsia"/>
                <w:b/>
                <w:bCs/>
                <w:color w:val="auto"/>
                <w:szCs w:val="18"/>
                <w:highlight w:val="none"/>
                <w:lang w:val="zh-TW"/>
              </w:rPr>
              <w:t>项</w:t>
            </w:r>
            <w:r>
              <w:rPr>
                <w:rFonts w:hint="eastAsia"/>
                <w:b/>
                <w:bCs/>
                <w:color w:val="auto"/>
                <w:szCs w:val="18"/>
                <w:highlight w:val="none"/>
                <w:lang w:val="zh-TW" w:eastAsia="zh-TW"/>
              </w:rPr>
              <w:t>）</w:t>
            </w:r>
          </w:p>
        </w:tc>
        <w:tc>
          <w:tcPr>
            <w:tcW w:w="1214" w:type="dxa"/>
            <w:vAlign w:val="center"/>
          </w:tcPr>
          <w:p w14:paraId="4DB00446">
            <w:pPr>
              <w:pStyle w:val="41"/>
              <w:jc w:val="center"/>
              <w:rPr>
                <w:color w:val="auto"/>
                <w:szCs w:val="18"/>
                <w:highlight w:val="none"/>
                <w:lang w:val="zh-TW" w:eastAsia="zh-TW"/>
              </w:rPr>
            </w:pPr>
          </w:p>
        </w:tc>
        <w:tc>
          <w:tcPr>
            <w:tcW w:w="1152" w:type="dxa"/>
            <w:vAlign w:val="center"/>
          </w:tcPr>
          <w:p w14:paraId="2AE9F7B4">
            <w:pPr>
              <w:pStyle w:val="41"/>
              <w:jc w:val="center"/>
              <w:rPr>
                <w:color w:val="auto"/>
                <w:szCs w:val="18"/>
                <w:highlight w:val="none"/>
                <w:lang w:val="zh-TW" w:eastAsia="zh-TW"/>
              </w:rPr>
            </w:pPr>
          </w:p>
        </w:tc>
        <w:tc>
          <w:tcPr>
            <w:tcW w:w="996" w:type="dxa"/>
            <w:vAlign w:val="center"/>
          </w:tcPr>
          <w:p w14:paraId="16B31570">
            <w:pPr>
              <w:pStyle w:val="41"/>
              <w:rPr>
                <w:b/>
                <w:bCs/>
                <w:color w:val="auto"/>
                <w:szCs w:val="18"/>
                <w:highlight w:val="none"/>
                <w:lang w:val="zh-TW" w:eastAsia="zh-TW"/>
              </w:rPr>
            </w:pPr>
          </w:p>
        </w:tc>
        <w:tc>
          <w:tcPr>
            <w:tcW w:w="1132" w:type="dxa"/>
            <w:vAlign w:val="center"/>
          </w:tcPr>
          <w:p w14:paraId="1E62FF70">
            <w:pPr>
              <w:pStyle w:val="41"/>
              <w:rPr>
                <w:b/>
                <w:bCs/>
                <w:color w:val="auto"/>
                <w:szCs w:val="18"/>
                <w:highlight w:val="none"/>
                <w:lang w:val="zh-TW" w:eastAsia="zh-TW"/>
              </w:rPr>
            </w:pPr>
          </w:p>
        </w:tc>
      </w:tr>
      <w:tr w14:paraId="2D30E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8" w:hRule="atLeast"/>
          <w:jc w:val="center"/>
        </w:trPr>
        <w:tc>
          <w:tcPr>
            <w:tcW w:w="4062" w:type="dxa"/>
            <w:vAlign w:val="center"/>
          </w:tcPr>
          <w:p w14:paraId="24FB1562">
            <w:pPr>
              <w:pStyle w:val="41"/>
              <w:jc w:val="left"/>
              <w:rPr>
                <w:color w:val="auto"/>
                <w:szCs w:val="18"/>
                <w:highlight w:val="none"/>
              </w:rPr>
            </w:pPr>
            <w:r>
              <w:rPr>
                <w:color w:val="auto"/>
                <w:szCs w:val="18"/>
                <w:highlight w:val="none"/>
                <w:lang w:val="zh-TW" w:eastAsia="zh-TW"/>
              </w:rPr>
              <w:t>2</w:t>
            </w:r>
            <w:r>
              <w:rPr>
                <w:color w:val="auto"/>
                <w:szCs w:val="18"/>
                <w:highlight w:val="none"/>
              </w:rPr>
              <w:t>4</w:t>
            </w:r>
            <w:r>
              <w:rPr>
                <w:color w:val="auto"/>
                <w:szCs w:val="18"/>
                <w:highlight w:val="none"/>
                <w:lang w:val="zh-TW" w:eastAsia="zh-TW"/>
              </w:rPr>
              <w:t>.</w:t>
            </w:r>
            <w:r>
              <w:rPr>
                <w:rFonts w:hint="eastAsia"/>
                <w:color w:val="auto"/>
                <w:szCs w:val="18"/>
                <w:highlight w:val="none"/>
                <w:lang w:val="zh-TW" w:eastAsia="zh-TW"/>
              </w:rPr>
              <w:t>粮食综合生产能力（</w:t>
            </w:r>
            <w:r>
              <w:rPr>
                <w:rFonts w:hint="eastAsia"/>
                <w:color w:val="auto"/>
                <w:szCs w:val="18"/>
                <w:highlight w:val="none"/>
                <w:lang w:val="zh-TW" w:eastAsia="zh-CN"/>
              </w:rPr>
              <w:t>万吨</w:t>
            </w:r>
            <w:r>
              <w:rPr>
                <w:rFonts w:hint="eastAsia"/>
                <w:color w:val="auto"/>
                <w:szCs w:val="18"/>
                <w:highlight w:val="none"/>
                <w:lang w:val="zh-TW" w:eastAsia="zh-TW"/>
              </w:rPr>
              <w:t>）</w:t>
            </w:r>
          </w:p>
        </w:tc>
        <w:tc>
          <w:tcPr>
            <w:tcW w:w="1214" w:type="dxa"/>
            <w:vAlign w:val="center"/>
          </w:tcPr>
          <w:p w14:paraId="5E402546">
            <w:pPr>
              <w:pStyle w:val="41"/>
              <w:rPr>
                <w:rFonts w:hint="eastAsia" w:ascii="Times New Roman" w:hAnsi="Times New Roman" w:eastAsia="宋体" w:cs="Times New Roman"/>
                <w:color w:val="auto"/>
                <w:kern w:val="2"/>
                <w:sz w:val="18"/>
                <w:szCs w:val="18"/>
                <w:highlight w:val="none"/>
                <w:lang w:val="en-US" w:eastAsia="zh-CN" w:bidi="ar-SA"/>
              </w:rPr>
            </w:pPr>
            <w:r>
              <w:rPr>
                <w:rFonts w:hint="eastAsia"/>
                <w:color w:val="auto"/>
                <w:szCs w:val="18"/>
                <w:highlight w:val="none"/>
                <w:lang w:eastAsia="zh-CN"/>
              </w:rPr>
              <w:t>—</w:t>
            </w:r>
          </w:p>
        </w:tc>
        <w:tc>
          <w:tcPr>
            <w:tcW w:w="1152" w:type="dxa"/>
            <w:vAlign w:val="center"/>
          </w:tcPr>
          <w:p w14:paraId="797EEB5D">
            <w:pPr>
              <w:pStyle w:val="41"/>
              <w:jc w:val="center"/>
              <w:rPr>
                <w:rFonts w:hint="default"/>
                <w:color w:val="auto"/>
                <w:szCs w:val="18"/>
                <w:highlight w:val="none"/>
                <w:lang w:val="en-US" w:eastAsia="zh-CN"/>
              </w:rPr>
            </w:pPr>
            <w:r>
              <w:rPr>
                <w:rFonts w:hint="eastAsia"/>
                <w:color w:val="auto"/>
                <w:szCs w:val="18"/>
                <w:highlight w:val="none"/>
                <w:lang w:val="en-US" w:eastAsia="zh-CN"/>
              </w:rPr>
              <w:t>72.5</w:t>
            </w:r>
          </w:p>
        </w:tc>
        <w:tc>
          <w:tcPr>
            <w:tcW w:w="996" w:type="dxa"/>
            <w:vAlign w:val="center"/>
          </w:tcPr>
          <w:p w14:paraId="539D81DC">
            <w:pPr>
              <w:pStyle w:val="41"/>
              <w:rPr>
                <w:color w:val="auto"/>
                <w:szCs w:val="18"/>
                <w:highlight w:val="none"/>
              </w:rPr>
            </w:pPr>
          </w:p>
        </w:tc>
        <w:tc>
          <w:tcPr>
            <w:tcW w:w="1132" w:type="dxa"/>
            <w:vAlign w:val="center"/>
          </w:tcPr>
          <w:p w14:paraId="01F6FFE5">
            <w:pPr>
              <w:pStyle w:val="41"/>
              <w:rPr>
                <w:color w:val="auto"/>
                <w:szCs w:val="18"/>
                <w:highlight w:val="none"/>
              </w:rPr>
            </w:pPr>
            <w:r>
              <w:rPr>
                <w:rFonts w:hint="eastAsia"/>
                <w:color w:val="auto"/>
                <w:szCs w:val="18"/>
                <w:highlight w:val="none"/>
              </w:rPr>
              <w:t>约束性</w:t>
            </w:r>
          </w:p>
        </w:tc>
      </w:tr>
      <w:tr w14:paraId="3E0EB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89" w:hRule="atLeast"/>
          <w:jc w:val="center"/>
        </w:trPr>
        <w:tc>
          <w:tcPr>
            <w:tcW w:w="4062" w:type="dxa"/>
            <w:vAlign w:val="center"/>
          </w:tcPr>
          <w:p w14:paraId="70EC13D1">
            <w:pPr>
              <w:pStyle w:val="41"/>
              <w:jc w:val="left"/>
              <w:rPr>
                <w:color w:val="auto"/>
                <w:szCs w:val="18"/>
                <w:highlight w:val="none"/>
              </w:rPr>
            </w:pPr>
            <w:r>
              <w:rPr>
                <w:color w:val="auto"/>
                <w:szCs w:val="18"/>
                <w:highlight w:val="none"/>
              </w:rPr>
              <w:t>25.</w:t>
            </w:r>
            <w:r>
              <w:rPr>
                <w:rFonts w:hint="eastAsia"/>
                <w:color w:val="auto"/>
                <w:szCs w:val="18"/>
                <w:highlight w:val="none"/>
                <w:lang w:val="zh-TW"/>
              </w:rPr>
              <w:t>能源综合生产能力（万吨标准煤）</w:t>
            </w:r>
          </w:p>
        </w:tc>
        <w:tc>
          <w:tcPr>
            <w:tcW w:w="1214" w:type="dxa"/>
            <w:vAlign w:val="center"/>
          </w:tcPr>
          <w:p w14:paraId="0D2B286F">
            <w:pPr>
              <w:pStyle w:val="41"/>
              <w:ind w:firstLine="360" w:firstLineChars="200"/>
              <w:jc w:val="both"/>
              <w:rPr>
                <w:color w:val="auto"/>
                <w:szCs w:val="18"/>
                <w:highlight w:val="none"/>
              </w:rPr>
            </w:pPr>
            <w:r>
              <w:rPr>
                <w:color w:val="auto"/>
                <w:szCs w:val="18"/>
                <w:highlight w:val="none"/>
              </w:rPr>
              <w:t>38.14</w:t>
            </w:r>
          </w:p>
        </w:tc>
        <w:tc>
          <w:tcPr>
            <w:tcW w:w="1152" w:type="dxa"/>
            <w:vAlign w:val="center"/>
          </w:tcPr>
          <w:p w14:paraId="714681B8">
            <w:pPr>
              <w:pStyle w:val="41"/>
              <w:rPr>
                <w:color w:val="auto"/>
                <w:szCs w:val="18"/>
                <w:highlight w:val="none"/>
              </w:rPr>
            </w:pPr>
            <w:r>
              <w:rPr>
                <w:color w:val="auto"/>
                <w:szCs w:val="18"/>
                <w:highlight w:val="none"/>
              </w:rPr>
              <w:t>38.14</w:t>
            </w:r>
            <w:r>
              <w:rPr>
                <w:rFonts w:hint="eastAsia"/>
                <w:color w:val="auto"/>
                <w:szCs w:val="18"/>
                <w:highlight w:val="none"/>
              </w:rPr>
              <w:t>以上</w:t>
            </w:r>
          </w:p>
        </w:tc>
        <w:tc>
          <w:tcPr>
            <w:tcW w:w="996" w:type="dxa"/>
            <w:vAlign w:val="center"/>
          </w:tcPr>
          <w:p w14:paraId="751EE5B7">
            <w:pPr>
              <w:pStyle w:val="41"/>
              <w:rPr>
                <w:color w:val="auto"/>
                <w:szCs w:val="18"/>
                <w:highlight w:val="none"/>
              </w:rPr>
            </w:pPr>
          </w:p>
        </w:tc>
        <w:tc>
          <w:tcPr>
            <w:tcW w:w="1132" w:type="dxa"/>
            <w:vAlign w:val="center"/>
          </w:tcPr>
          <w:p w14:paraId="333B4479">
            <w:pPr>
              <w:pStyle w:val="41"/>
              <w:rPr>
                <w:color w:val="auto"/>
                <w:szCs w:val="18"/>
                <w:highlight w:val="none"/>
              </w:rPr>
            </w:pPr>
            <w:r>
              <w:rPr>
                <w:rFonts w:hint="eastAsia"/>
                <w:color w:val="auto"/>
                <w:szCs w:val="18"/>
                <w:highlight w:val="none"/>
              </w:rPr>
              <w:t>约束性</w:t>
            </w:r>
          </w:p>
        </w:tc>
      </w:tr>
    </w:tbl>
    <w:p w14:paraId="0E2B01F6">
      <w:pPr>
        <w:pStyle w:val="41"/>
        <w:ind w:firstLine="181" w:firstLineChars="100"/>
        <w:jc w:val="left"/>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zh-TW" w:eastAsia="zh-TW"/>
        </w:rPr>
        <w:t>注：</w:t>
      </w:r>
      <w:r>
        <w:rPr>
          <w:rFonts w:hint="eastAsia" w:ascii="仿宋" w:hAnsi="仿宋" w:eastAsia="仿宋" w:cs="仿宋"/>
          <w:b/>
          <w:bCs/>
          <w:color w:val="auto"/>
          <w:sz w:val="18"/>
          <w:szCs w:val="18"/>
          <w:highlight w:val="none"/>
        </w:rPr>
        <w:t>1.</w:t>
      </w:r>
      <w:r>
        <w:rPr>
          <w:rFonts w:hint="eastAsia" w:ascii="仿宋" w:hAnsi="仿宋" w:eastAsia="仿宋" w:cs="仿宋"/>
          <w:b/>
          <w:bCs/>
          <w:color w:val="auto"/>
          <w:sz w:val="18"/>
          <w:szCs w:val="18"/>
          <w:highlight w:val="none"/>
          <w:lang w:val="zh-TW" w:eastAsia="zh-TW"/>
        </w:rPr>
        <w:t>增速和比例目标注为左右的可上下浮动0.5个百分点。</w:t>
      </w:r>
    </w:p>
    <w:p w14:paraId="6903E2DF">
      <w:pPr>
        <w:pStyle w:val="41"/>
        <w:numPr>
          <w:ilvl w:val="0"/>
          <w:numId w:val="0"/>
        </w:numPr>
        <w:ind w:firstLine="542" w:firstLineChars="300"/>
        <w:jc w:val="left"/>
        <w:rPr>
          <w:rFonts w:hint="eastAsia" w:ascii="仿宋" w:hAnsi="仿宋" w:eastAsia="仿宋" w:cs="仿宋"/>
          <w:b/>
          <w:bCs/>
          <w:color w:val="auto"/>
          <w:sz w:val="18"/>
          <w:szCs w:val="18"/>
          <w:highlight w:val="none"/>
          <w:lang w:val="zh-TW" w:eastAsia="zh-TW"/>
        </w:rPr>
      </w:pPr>
      <w:r>
        <w:rPr>
          <w:rFonts w:hint="eastAsia" w:ascii="仿宋" w:hAnsi="仿宋" w:eastAsia="仿宋" w:cs="仿宋"/>
          <w:b/>
          <w:bCs/>
          <w:color w:val="auto"/>
          <w:sz w:val="18"/>
          <w:szCs w:val="18"/>
          <w:highlight w:val="none"/>
          <w:lang w:val="en-US" w:eastAsia="zh-CN"/>
        </w:rPr>
        <w:t>2.</w:t>
      </w:r>
      <w:r>
        <w:rPr>
          <w:rFonts w:hint="eastAsia" w:ascii="仿宋" w:hAnsi="仿宋" w:eastAsia="仿宋" w:cs="仿宋"/>
          <w:b/>
          <w:bCs/>
          <w:color w:val="auto"/>
          <w:sz w:val="18"/>
          <w:szCs w:val="18"/>
          <w:highlight w:val="none"/>
          <w:lang w:val="zh-TW" w:eastAsia="zh-TW"/>
        </w:rPr>
        <w:t>[ ]内为5年累计数</w:t>
      </w:r>
    </w:p>
    <w:p w14:paraId="084B7B37">
      <w:pPr>
        <w:pStyle w:val="41"/>
        <w:numPr>
          <w:ilvl w:val="0"/>
          <w:numId w:val="0"/>
        </w:numPr>
        <w:ind w:firstLine="542" w:firstLineChars="300"/>
        <w:jc w:val="left"/>
        <w:rPr>
          <w:rFonts w:hint="eastAsia" w:ascii="仿宋" w:hAnsi="仿宋" w:eastAsia="仿宋" w:cs="仿宋"/>
          <w:b/>
          <w:bCs/>
          <w:color w:val="auto"/>
          <w:sz w:val="18"/>
          <w:szCs w:val="18"/>
          <w:highlight w:val="none"/>
          <w:lang w:val="zh-TW" w:eastAsia="zh-CN"/>
        </w:rPr>
      </w:pPr>
      <w:r>
        <w:rPr>
          <w:rFonts w:hint="eastAsia" w:ascii="仿宋" w:hAnsi="仿宋" w:eastAsia="仿宋" w:cs="仿宋"/>
          <w:b/>
          <w:bCs/>
          <w:color w:val="auto"/>
          <w:sz w:val="18"/>
          <w:szCs w:val="18"/>
          <w:highlight w:val="none"/>
          <w:lang w:val="en-US" w:eastAsia="zh-CN"/>
        </w:rPr>
        <w:t>3.</w:t>
      </w:r>
      <w:r>
        <w:rPr>
          <w:rFonts w:hint="eastAsia" w:ascii="仿宋" w:hAnsi="仿宋" w:eastAsia="仿宋" w:cs="仿宋"/>
          <w:b/>
          <w:bCs/>
          <w:color w:val="auto"/>
          <w:sz w:val="18"/>
          <w:szCs w:val="18"/>
          <w:highlight w:val="none"/>
          <w:lang w:val="zh-TW" w:eastAsia="zh-CN"/>
        </w:rPr>
        <w:t>居民人均可支配收入增长率目标值为实际增长率。</w:t>
      </w:r>
    </w:p>
    <w:p w14:paraId="52F37D09">
      <w:pPr>
        <w:pStyle w:val="9"/>
        <w:ind w:left="0" w:leftChars="0" w:firstLine="542" w:firstLineChars="300"/>
        <w:rPr>
          <w:rFonts w:hint="eastAsia" w:ascii="仿宋" w:hAnsi="仿宋" w:eastAsia="仿宋" w:cs="仿宋"/>
          <w:color w:val="auto"/>
          <w:sz w:val="18"/>
          <w:szCs w:val="18"/>
          <w:highlight w:val="none"/>
        </w:rPr>
      </w:pPr>
      <w:r>
        <w:rPr>
          <w:rFonts w:hint="eastAsia" w:ascii="仿宋" w:hAnsi="仿宋" w:eastAsia="仿宋" w:cs="仿宋"/>
          <w:b/>
          <w:bCs/>
          <w:color w:val="auto"/>
          <w:sz w:val="18"/>
          <w:szCs w:val="18"/>
          <w:highlight w:val="none"/>
          <w:lang w:val="en-US" w:eastAsia="zh-CN"/>
        </w:rPr>
        <w:t>4.注*的指标以省下达任务为准。</w:t>
      </w:r>
    </w:p>
    <w:p w14:paraId="5E2AE5D4">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exact"/>
        <w:jc w:val="center"/>
        <w:textAlignment w:val="auto"/>
        <w:outlineLvl w:val="0"/>
        <w:rPr>
          <w:rFonts w:eastAsia="宋体"/>
          <w:b/>
          <w:color w:val="auto"/>
          <w:sz w:val="36"/>
          <w:szCs w:val="36"/>
          <w:highlight w:val="none"/>
        </w:rPr>
      </w:pPr>
      <w:bookmarkStart w:id="155" w:name="_Toc7566"/>
      <w:bookmarkStart w:id="156" w:name="_Toc12288"/>
      <w:bookmarkStart w:id="157" w:name="_Toc28708"/>
      <w:r>
        <w:rPr>
          <w:rFonts w:hint="eastAsia" w:eastAsia="宋体"/>
          <w:b/>
          <w:color w:val="auto"/>
          <w:sz w:val="36"/>
          <w:szCs w:val="36"/>
          <w:highlight w:val="none"/>
        </w:rPr>
        <w:t>第三章</w:t>
      </w:r>
      <w:r>
        <w:rPr>
          <w:rFonts w:eastAsia="宋体"/>
          <w:b/>
          <w:color w:val="auto"/>
          <w:sz w:val="36"/>
          <w:szCs w:val="36"/>
          <w:highlight w:val="none"/>
        </w:rPr>
        <w:t xml:space="preserve"> </w:t>
      </w:r>
      <w:r>
        <w:rPr>
          <w:rFonts w:hint="eastAsia" w:eastAsia="宋体"/>
          <w:b/>
          <w:color w:val="auto"/>
          <w:sz w:val="36"/>
          <w:szCs w:val="36"/>
          <w:highlight w:val="none"/>
        </w:rPr>
        <w:t>贯彻新发展理念，构建现代</w:t>
      </w:r>
      <w:r>
        <w:rPr>
          <w:rFonts w:hint="eastAsia" w:eastAsia="宋体"/>
          <w:b/>
          <w:color w:val="auto"/>
          <w:sz w:val="36"/>
          <w:szCs w:val="36"/>
          <w:highlight w:val="none"/>
          <w:lang w:eastAsia="zh-CN"/>
        </w:rPr>
        <w:t>产业</w:t>
      </w:r>
      <w:r>
        <w:rPr>
          <w:rFonts w:hint="eastAsia" w:eastAsia="宋体"/>
          <w:b/>
          <w:color w:val="auto"/>
          <w:sz w:val="36"/>
          <w:szCs w:val="36"/>
          <w:highlight w:val="none"/>
        </w:rPr>
        <w:t>体系</w:t>
      </w:r>
      <w:bookmarkEnd w:id="155"/>
      <w:bookmarkEnd w:id="156"/>
      <w:bookmarkEnd w:id="157"/>
    </w:p>
    <w:p w14:paraId="6DDFDB20">
      <w:pPr>
        <w:spacing w:line="560" w:lineRule="exact"/>
        <w:ind w:firstLine="640" w:firstLineChars="200"/>
        <w:rPr>
          <w:rFonts w:eastAsia="仿宋_GB2312"/>
          <w:color w:val="auto"/>
          <w:highlight w:val="none"/>
        </w:rPr>
      </w:pPr>
      <w:r>
        <w:rPr>
          <w:rFonts w:hint="eastAsia" w:eastAsia="仿宋_GB2312"/>
          <w:color w:val="auto"/>
          <w:highlight w:val="none"/>
        </w:rPr>
        <w:t>坚持把发展经济着力点放在实体经济上，深入推进制造强市、质量强市建设，大力发展先进制造业，加快发展现代服务业，积极布局培育发展高潜力未来产业，构建以</w:t>
      </w:r>
      <w:r>
        <w:rPr>
          <w:rFonts w:hint="eastAsia" w:eastAsia="仿宋_GB2312"/>
          <w:color w:val="auto"/>
          <w:highlight w:val="none"/>
          <w:lang w:eastAsia="zh-CN"/>
        </w:rPr>
        <w:t>“</w:t>
      </w:r>
      <w:r>
        <w:rPr>
          <w:rFonts w:eastAsia="仿宋_GB2312"/>
          <w:color w:val="auto"/>
          <w:highlight w:val="none"/>
        </w:rPr>
        <w:t>532</w:t>
      </w:r>
      <w:r>
        <w:rPr>
          <w:rFonts w:hint="eastAsia" w:eastAsia="仿宋_GB2312"/>
          <w:color w:val="auto"/>
          <w:highlight w:val="none"/>
          <w:lang w:eastAsia="zh-CN"/>
        </w:rPr>
        <w:t>”</w:t>
      </w:r>
      <w:r>
        <w:rPr>
          <w:rFonts w:hint="eastAsia" w:eastAsia="仿宋_GB2312"/>
          <w:color w:val="auto"/>
          <w:highlight w:val="none"/>
        </w:rPr>
        <w:t>现代产业为代表，三次产业深度融合，实体经济、科技创新、现代金融、人力资源协同发展的现代化经济体系，</w:t>
      </w:r>
      <w:r>
        <w:rPr>
          <w:rFonts w:hint="eastAsia" w:eastAsia="仿宋_GB2312"/>
          <w:color w:val="auto"/>
          <w:highlight w:val="none"/>
          <w:lang w:eastAsia="zh-CN"/>
        </w:rPr>
        <w:t>推动经济存量做优、增量做强、总量做大，不断</w:t>
      </w:r>
      <w:r>
        <w:rPr>
          <w:rFonts w:hint="eastAsia" w:eastAsia="仿宋_GB2312"/>
          <w:color w:val="auto"/>
          <w:highlight w:val="none"/>
        </w:rPr>
        <w:t>提升</w:t>
      </w:r>
      <w:r>
        <w:rPr>
          <w:rFonts w:hint="eastAsia" w:eastAsia="仿宋_GB2312"/>
          <w:color w:val="auto"/>
          <w:highlight w:val="none"/>
          <w:lang w:eastAsia="zh-CN"/>
        </w:rPr>
        <w:t>经济发展的</w:t>
      </w:r>
      <w:r>
        <w:rPr>
          <w:rFonts w:hint="eastAsia" w:eastAsia="仿宋_GB2312"/>
          <w:color w:val="auto"/>
          <w:highlight w:val="none"/>
        </w:rPr>
        <w:t>质量效益和核心竞争力。</w:t>
      </w:r>
    </w:p>
    <w:p w14:paraId="5569C176">
      <w:pPr>
        <w:spacing w:line="560" w:lineRule="exact"/>
        <w:ind w:firstLine="646"/>
        <w:outlineLvl w:val="1"/>
        <w:rPr>
          <w:rFonts w:eastAsia="黑体"/>
          <w:color w:val="auto"/>
          <w:highlight w:val="none"/>
        </w:rPr>
      </w:pPr>
      <w:bookmarkStart w:id="158" w:name="_Toc23707"/>
      <w:bookmarkStart w:id="159" w:name="_Toc13843"/>
      <w:bookmarkStart w:id="160" w:name="_Toc2360"/>
      <w:r>
        <w:rPr>
          <w:rFonts w:hint="eastAsia" w:eastAsia="黑体"/>
          <w:color w:val="auto"/>
          <w:highlight w:val="none"/>
        </w:rPr>
        <w:t>一、</w:t>
      </w:r>
      <w:bookmarkEnd w:id="158"/>
      <w:r>
        <w:rPr>
          <w:rFonts w:hint="eastAsia" w:eastAsia="黑体"/>
          <w:color w:val="auto"/>
          <w:highlight w:val="none"/>
          <w:lang w:eastAsia="zh-CN"/>
        </w:rPr>
        <w:t>加快</w:t>
      </w:r>
      <w:r>
        <w:rPr>
          <w:rFonts w:hint="eastAsia" w:eastAsia="黑体"/>
          <w:color w:val="auto"/>
          <w:highlight w:val="none"/>
        </w:rPr>
        <w:t>建设制造强市</w:t>
      </w:r>
      <w:bookmarkEnd w:id="159"/>
      <w:bookmarkEnd w:id="160"/>
    </w:p>
    <w:p w14:paraId="5A9ADDE8">
      <w:pPr>
        <w:spacing w:line="560" w:lineRule="exact"/>
        <w:ind w:firstLine="640" w:firstLineChars="200"/>
        <w:rPr>
          <w:rFonts w:eastAsia="仿宋_GB2312"/>
          <w:color w:val="auto"/>
          <w:highlight w:val="none"/>
        </w:rPr>
      </w:pPr>
      <w:r>
        <w:rPr>
          <w:rFonts w:hint="eastAsia" w:eastAsia="仿宋_GB2312"/>
          <w:color w:val="auto"/>
          <w:highlight w:val="none"/>
        </w:rPr>
        <w:t>把</w:t>
      </w:r>
      <w:r>
        <w:rPr>
          <w:rFonts w:hint="eastAsia" w:eastAsia="仿宋_GB2312"/>
          <w:color w:val="auto"/>
          <w:highlight w:val="none"/>
          <w:lang w:eastAsia="zh-CN"/>
        </w:rPr>
        <w:t>振兴和做大做强</w:t>
      </w:r>
      <w:r>
        <w:rPr>
          <w:rFonts w:hint="eastAsia" w:eastAsia="仿宋_GB2312"/>
          <w:color w:val="auto"/>
          <w:highlight w:val="none"/>
        </w:rPr>
        <w:t>制造业</w:t>
      </w:r>
      <w:r>
        <w:rPr>
          <w:rFonts w:hint="eastAsia" w:eastAsia="仿宋_GB2312"/>
          <w:color w:val="auto"/>
          <w:highlight w:val="none"/>
          <w:lang w:eastAsia="zh-CN"/>
        </w:rPr>
        <w:t>作为做大经济总量的关键性举措</w:t>
      </w:r>
      <w:r>
        <w:rPr>
          <w:rFonts w:hint="eastAsia" w:eastAsia="仿宋_GB2312"/>
          <w:color w:val="auto"/>
          <w:highlight w:val="none"/>
        </w:rPr>
        <w:t>，实施制造业发展倍增行动计划，</w:t>
      </w:r>
      <w:r>
        <w:rPr>
          <w:rFonts w:hint="eastAsia" w:eastAsia="仿宋_GB2312"/>
          <w:color w:val="auto"/>
          <w:highlight w:val="none"/>
          <w:lang w:eastAsia="zh-CN"/>
        </w:rPr>
        <w:t>建立健全重点</w:t>
      </w:r>
      <w:r>
        <w:rPr>
          <w:rFonts w:hint="eastAsia" w:eastAsia="仿宋_GB2312"/>
          <w:color w:val="00B0F0"/>
          <w:highlight w:val="none"/>
          <w:lang w:eastAsia="zh-CN"/>
        </w:rPr>
        <w:t>产业链</w:t>
      </w:r>
      <w:r>
        <w:rPr>
          <w:rFonts w:hint="eastAsia" w:eastAsia="仿宋_GB2312"/>
          <w:color w:val="auto"/>
          <w:highlight w:val="none"/>
          <w:lang w:eastAsia="zh-CN"/>
        </w:rPr>
        <w:t>链长制，着力提升产业链供应链稳定性和竞争力，</w:t>
      </w:r>
      <w:r>
        <w:rPr>
          <w:rFonts w:hint="eastAsia" w:eastAsia="仿宋_GB2312"/>
          <w:color w:val="auto"/>
          <w:highlight w:val="none"/>
        </w:rPr>
        <w:t>加快推动制造业扩总量、增规模、提效益</w:t>
      </w:r>
      <w:r>
        <w:rPr>
          <w:rFonts w:hint="eastAsia" w:eastAsia="仿宋_GB2312"/>
          <w:color w:val="auto"/>
          <w:highlight w:val="none"/>
          <w:lang w:eastAsia="zh-CN"/>
        </w:rPr>
        <w:t>，</w:t>
      </w:r>
      <w:r>
        <w:rPr>
          <w:rFonts w:hint="eastAsia" w:eastAsia="仿宋_GB2312"/>
          <w:color w:val="auto"/>
          <w:highlight w:val="none"/>
        </w:rPr>
        <w:t>加快推进传统制造业高端化、智能化、绿色化变革，向价值链高端攀升，不断夯实实体经济发展根基，打造具有全国影响力的先进制造基地。</w:t>
      </w:r>
    </w:p>
    <w:p w14:paraId="306D1615">
      <w:pPr>
        <w:spacing w:line="560" w:lineRule="exact"/>
        <w:ind w:firstLine="640" w:firstLineChars="200"/>
        <w:outlineLvl w:val="2"/>
        <w:rPr>
          <w:b w:val="0"/>
          <w:bCs w:val="0"/>
          <w:color w:val="auto"/>
          <w:highlight w:val="none"/>
        </w:rPr>
      </w:pPr>
      <w:bookmarkStart w:id="161" w:name="_Toc16457"/>
      <w:bookmarkStart w:id="162" w:name="_Toc7953"/>
      <w:bookmarkStart w:id="163" w:name="_Toc3289"/>
      <w:r>
        <w:rPr>
          <w:rFonts w:hint="eastAsia"/>
          <w:b w:val="0"/>
          <w:bCs w:val="0"/>
          <w:color w:val="auto"/>
          <w:highlight w:val="none"/>
        </w:rPr>
        <w:t>（一）装备制造</w:t>
      </w:r>
      <w:bookmarkEnd w:id="161"/>
      <w:bookmarkEnd w:id="162"/>
      <w:bookmarkEnd w:id="163"/>
      <w:r>
        <w:rPr>
          <w:b w:val="0"/>
          <w:bCs w:val="0"/>
          <w:color w:val="auto"/>
          <w:highlight w:val="none"/>
        </w:rPr>
        <w:tab/>
      </w:r>
    </w:p>
    <w:p w14:paraId="02DAE274">
      <w:pPr>
        <w:spacing w:line="560" w:lineRule="exact"/>
        <w:ind w:firstLine="640" w:firstLineChars="200"/>
        <w:rPr>
          <w:rFonts w:eastAsia="仿宋_GB2312"/>
          <w:color w:val="auto"/>
          <w:highlight w:val="none"/>
        </w:rPr>
      </w:pPr>
      <w:r>
        <w:rPr>
          <w:rFonts w:hint="eastAsia" w:eastAsia="仿宋_GB2312"/>
          <w:color w:val="auto"/>
          <w:highlight w:val="none"/>
        </w:rPr>
        <w:t>大力发展智能制造，促进全市装备制造业向产业数字化、生产智能化、产品高级化、布局基地化方向发展，打造千亿级智能化高端化装备制造产业。适应汽车产业电动化、网联化、智能化发展潮流趋势，增强汽车零部件研发能力，加快产业链配套项目的引进和建设，打造全产业链条，实现从汽车零部件向整车制造升级跨越，打造中国轻量化铝合金汽车零部件制造基地。发展船艇及海洋工程装备，开拓修船业务新领域和船舶配套产业，建设国内最大的修船基地，开发高科技轻型船艇，打造水上应急救援装备基地。大力发展轨道交通设备和高速铁路设备制造，提高国内市场占有率。发展重型电力装备制造，建设发电设备、输变电设备出海口基地。发展大型起重机、掘进机，建设重型工程装备基地，推进烟草、冶金专用设备集群建设，确保国内市场地位。鼓励研发数控机床及关键零部件，</w:t>
      </w:r>
      <w:r>
        <w:rPr>
          <w:rFonts w:hint="eastAsia" w:eastAsia="仿宋_GB2312"/>
          <w:color w:val="auto"/>
          <w:highlight w:val="none"/>
          <w:lang w:eastAsia="zh-CN"/>
        </w:rPr>
        <w:t>发展伺服电机等发动机装置，</w:t>
      </w:r>
      <w:r>
        <w:rPr>
          <w:rFonts w:hint="eastAsia" w:eastAsia="仿宋_GB2312"/>
          <w:color w:val="auto"/>
          <w:highlight w:val="none"/>
        </w:rPr>
        <w:t>推进机器人应用示范，培育发展光机电一体化的高端工程装备。</w:t>
      </w:r>
    </w:p>
    <w:p w14:paraId="4ABC6044">
      <w:pPr>
        <w:spacing w:line="560" w:lineRule="exact"/>
        <w:ind w:firstLine="640" w:firstLineChars="200"/>
        <w:outlineLvl w:val="2"/>
        <w:rPr>
          <w:b w:val="0"/>
          <w:bCs w:val="0"/>
          <w:color w:val="auto"/>
          <w:highlight w:val="none"/>
        </w:rPr>
      </w:pPr>
      <w:bookmarkStart w:id="164" w:name="_Toc4553"/>
      <w:bookmarkStart w:id="165" w:name="_Toc27080"/>
      <w:bookmarkStart w:id="166" w:name="_Toc30352"/>
      <w:r>
        <w:rPr>
          <w:rFonts w:hint="eastAsia"/>
          <w:b w:val="0"/>
          <w:bCs w:val="0"/>
          <w:color w:val="auto"/>
          <w:highlight w:val="none"/>
        </w:rPr>
        <w:t>（二）金属压延</w:t>
      </w:r>
      <w:bookmarkEnd w:id="164"/>
      <w:bookmarkEnd w:id="165"/>
      <w:bookmarkEnd w:id="166"/>
      <w:r>
        <w:rPr>
          <w:b w:val="0"/>
          <w:bCs w:val="0"/>
          <w:color w:val="auto"/>
          <w:highlight w:val="none"/>
        </w:rPr>
        <w:tab/>
      </w:r>
    </w:p>
    <w:p w14:paraId="5139C409">
      <w:pPr>
        <w:spacing w:line="560" w:lineRule="exact"/>
        <w:ind w:firstLine="640" w:firstLineChars="200"/>
        <w:rPr>
          <w:rFonts w:eastAsia="仿宋_GB2312"/>
          <w:color w:val="auto"/>
          <w:highlight w:val="none"/>
        </w:rPr>
      </w:pPr>
      <w:r>
        <w:rPr>
          <w:rFonts w:hint="eastAsia" w:eastAsia="仿宋_GB2312"/>
          <w:color w:val="auto"/>
          <w:highlight w:val="none"/>
        </w:rPr>
        <w:t>围绕产业链延伸和附加值提升，重点推进主体装备大型化、生产过程绿色化、全流程控制智能化、产品高端化、产业布局合理化、企业规模大型化，打造特优普产品全覆盖并向装备配套、绿色建筑、消费用钢延伸拓展的千亿级金属压延产业链条集群。推动烧结、冶炼装备大型化改造，加快企业数字化转型，打造循环经济产业链，建设绿色生态型企业。优化调整产品结构，大力发展冷轧薄板、镀锌板、家电板、车用板、轴承钢、耐蚀钢材等高端产品，加快打造高端金属压延制造基地。利用</w:t>
      </w:r>
      <w:r>
        <w:rPr>
          <w:rFonts w:hint="eastAsia" w:eastAsia="仿宋_GB2312"/>
          <w:color w:val="auto"/>
          <w:highlight w:val="none"/>
          <w:lang w:eastAsia="zh-CN"/>
        </w:rPr>
        <w:t>“</w:t>
      </w:r>
      <w:r>
        <w:rPr>
          <w:rFonts w:hint="eastAsia" w:eastAsia="仿宋_GB2312"/>
          <w:color w:val="auto"/>
          <w:highlight w:val="none"/>
        </w:rPr>
        <w:t>短流程</w:t>
      </w:r>
      <w:r>
        <w:rPr>
          <w:rFonts w:hint="eastAsia" w:eastAsia="仿宋_GB2312"/>
          <w:color w:val="auto"/>
          <w:highlight w:val="none"/>
          <w:lang w:eastAsia="zh-CN"/>
        </w:rPr>
        <w:t>”</w:t>
      </w:r>
      <w:r>
        <w:rPr>
          <w:rFonts w:hint="eastAsia" w:eastAsia="仿宋_GB2312"/>
          <w:color w:val="auto"/>
          <w:highlight w:val="none"/>
        </w:rPr>
        <w:t>铸造优势，加快昌黎铸造产业园建设，打造耐热、耐磨、高合金高端铸钢铸铁件品牌基地。加快推动金属压延企业整合重组，组建大型企业集团，切实提升企业整体竞争力和市场话语权。大力发展高品质板带箔、锻铸件、高性能大尺寸薄板、</w:t>
      </w:r>
      <w:r>
        <w:rPr>
          <w:rFonts w:hint="eastAsia" w:eastAsia="仿宋_GB2312"/>
          <w:color w:val="auto"/>
          <w:highlight w:val="none"/>
          <w:lang w:eastAsia="zh-CN"/>
        </w:rPr>
        <w:t>飞机和车用铝板材、</w:t>
      </w:r>
      <w:r>
        <w:rPr>
          <w:rFonts w:hint="eastAsia" w:eastAsia="仿宋_GB2312"/>
          <w:color w:val="auto"/>
          <w:highlight w:val="none"/>
        </w:rPr>
        <w:t>可焊型材等高性能铝合金结构材料，实现铝产品全面换代升级。</w:t>
      </w:r>
    </w:p>
    <w:p w14:paraId="2457F122">
      <w:pPr>
        <w:spacing w:line="560" w:lineRule="exact"/>
        <w:ind w:firstLine="640" w:firstLineChars="200"/>
        <w:outlineLvl w:val="2"/>
        <w:rPr>
          <w:b/>
          <w:bCs/>
          <w:color w:val="auto"/>
          <w:highlight w:val="none"/>
        </w:rPr>
      </w:pPr>
      <w:bookmarkStart w:id="167" w:name="_Toc6771"/>
      <w:bookmarkStart w:id="168" w:name="_Toc12324"/>
      <w:bookmarkStart w:id="169" w:name="_Toc19086"/>
      <w:r>
        <w:rPr>
          <w:rFonts w:hint="eastAsia"/>
          <w:b w:val="0"/>
          <w:bCs w:val="0"/>
          <w:color w:val="auto"/>
          <w:highlight w:val="none"/>
        </w:rPr>
        <w:t>（三）食品加工</w:t>
      </w:r>
      <w:bookmarkEnd w:id="167"/>
      <w:bookmarkEnd w:id="168"/>
      <w:bookmarkEnd w:id="169"/>
      <w:r>
        <w:rPr>
          <w:b/>
          <w:bCs/>
          <w:color w:val="auto"/>
          <w:highlight w:val="none"/>
        </w:rPr>
        <w:tab/>
      </w:r>
    </w:p>
    <w:p w14:paraId="291D8D34">
      <w:pPr>
        <w:spacing w:line="560" w:lineRule="exact"/>
        <w:ind w:firstLine="640" w:firstLineChars="200"/>
        <w:rPr>
          <w:rFonts w:eastAsia="仿宋_GB2312"/>
          <w:color w:val="auto"/>
          <w:highlight w:val="none"/>
        </w:rPr>
      </w:pPr>
      <w:r>
        <w:rPr>
          <w:rFonts w:hint="eastAsia" w:eastAsia="仿宋_GB2312"/>
          <w:color w:val="auto"/>
          <w:highlight w:val="none"/>
        </w:rPr>
        <w:t>发挥临近原料基地、深水良港和消费市场等综合优势，围绕原料基地化、产业规模化、加工精细化、特色品牌化，重点发展豆制品加工、杂粮加工、小麦加工、玉米深加工、葡萄酒酿造、肉类果蔬加工等产业，</w:t>
      </w:r>
      <w:r>
        <w:rPr>
          <w:rFonts w:hint="eastAsia" w:eastAsia="仿宋_GB2312"/>
          <w:color w:val="auto"/>
          <w:highlight w:val="none"/>
          <w:lang w:eastAsia="zh-CN"/>
        </w:rPr>
        <w:t>做大</w:t>
      </w:r>
      <w:r>
        <w:rPr>
          <w:rFonts w:hint="eastAsia" w:eastAsia="仿宋_GB2312"/>
          <w:color w:val="auto"/>
          <w:highlight w:val="none"/>
        </w:rPr>
        <w:t>产业集群</w:t>
      </w:r>
      <w:r>
        <w:rPr>
          <w:rFonts w:hint="eastAsia" w:eastAsia="仿宋_GB2312"/>
          <w:color w:val="auto"/>
          <w:highlight w:val="none"/>
          <w:lang w:eastAsia="zh-CN"/>
        </w:rPr>
        <w:t>影响力</w:t>
      </w:r>
      <w:r>
        <w:rPr>
          <w:rFonts w:hint="eastAsia" w:eastAsia="仿宋_GB2312"/>
          <w:color w:val="auto"/>
          <w:highlight w:val="none"/>
        </w:rPr>
        <w:t>，打造中国北方重要的粮油食品加工基地、服务京津的绿色食品供应基地。提高大豆精深加工、副产品综合加工利用水平。大力发展各类专用面粉、方便食品、速冻食品。发展玉米淀粉、葡萄糖等产品，扩大在食品、日化、生物、医药等领域的应用。发展保鲜菜、低温脱水蔬菜、蔬菜汁、果汁等加工业，开发以水果为原料的生物制品及保健品。建设高品质干红葡萄酒聚集区，做大做强华夏长城、朗格斯、茅台干红等知名品牌企业，形成高档葡萄酒庄园、家庭酒堡与现代化工厂规模生产相结合，集种植、酿造、研发、旅游、休闲为一体的</w:t>
      </w:r>
      <w:r>
        <w:rPr>
          <w:rFonts w:hint="eastAsia" w:eastAsia="仿宋_GB2312"/>
          <w:color w:val="auto"/>
          <w:highlight w:val="none"/>
          <w:lang w:eastAsia="zh-CN"/>
        </w:rPr>
        <w:t>“</w:t>
      </w:r>
      <w:r>
        <w:rPr>
          <w:rFonts w:hint="eastAsia" w:eastAsia="仿宋_GB2312"/>
          <w:color w:val="auto"/>
          <w:highlight w:val="none"/>
        </w:rPr>
        <w:t>中国干红葡萄酒城</w:t>
      </w:r>
      <w:r>
        <w:rPr>
          <w:rFonts w:hint="eastAsia" w:eastAsia="仿宋_GB2312"/>
          <w:color w:val="auto"/>
          <w:highlight w:val="none"/>
          <w:lang w:eastAsia="zh-CN"/>
        </w:rPr>
        <w:t>”</w:t>
      </w:r>
      <w:r>
        <w:rPr>
          <w:rFonts w:hint="eastAsia" w:eastAsia="仿宋_GB2312"/>
          <w:color w:val="auto"/>
          <w:highlight w:val="none"/>
        </w:rPr>
        <w:t>，建设成为世界知名的干红酒之乡。提高肉制品精深加工技术水平，全力打造区域品牌，力争建成中国北方最大的肉类加工集散地。加大水产品开发利用力度，重点研发速冻、即食、小包装等各类新型水产功能食品。</w:t>
      </w:r>
    </w:p>
    <w:p w14:paraId="25F81915">
      <w:pPr>
        <w:spacing w:line="560" w:lineRule="exact"/>
        <w:ind w:firstLine="640" w:firstLineChars="200"/>
        <w:outlineLvl w:val="2"/>
        <w:rPr>
          <w:b/>
          <w:bCs/>
          <w:color w:val="auto"/>
          <w:highlight w:val="none"/>
        </w:rPr>
      </w:pPr>
      <w:bookmarkStart w:id="170" w:name="_Toc24418"/>
      <w:bookmarkStart w:id="171" w:name="_Toc11553"/>
      <w:bookmarkStart w:id="172" w:name="_Toc30012"/>
      <w:r>
        <w:rPr>
          <w:rFonts w:hint="eastAsia"/>
          <w:b w:val="0"/>
          <w:bCs w:val="0"/>
          <w:color w:val="auto"/>
          <w:highlight w:val="none"/>
        </w:rPr>
        <w:t>（四）绿色建筑及节能环保</w:t>
      </w:r>
      <w:bookmarkEnd w:id="170"/>
      <w:bookmarkEnd w:id="171"/>
      <w:bookmarkEnd w:id="172"/>
      <w:r>
        <w:rPr>
          <w:b/>
          <w:bCs/>
          <w:color w:val="auto"/>
          <w:highlight w:val="none"/>
        </w:rPr>
        <w:tab/>
      </w:r>
    </w:p>
    <w:p w14:paraId="3F14DB7D">
      <w:pPr>
        <w:spacing w:line="560" w:lineRule="exact"/>
        <w:ind w:firstLine="640" w:firstLineChars="200"/>
        <w:rPr>
          <w:rFonts w:eastAsia="仿宋_GB2312"/>
          <w:color w:val="auto"/>
          <w:highlight w:val="none"/>
        </w:rPr>
      </w:pPr>
      <w:r>
        <w:rPr>
          <w:rFonts w:hint="eastAsia" w:eastAsia="仿宋_GB2312"/>
          <w:color w:val="auto"/>
          <w:highlight w:val="none"/>
        </w:rPr>
        <w:t>以加快生态文明建设、推动绿色发展为主线，围绕规模化、高端化、融合化、品牌化、绿色化发展，打造绿色建筑及节能环保</w:t>
      </w:r>
      <w:r>
        <w:rPr>
          <w:rFonts w:eastAsia="仿宋_GB2312"/>
          <w:color w:val="auto"/>
          <w:highlight w:val="none"/>
        </w:rPr>
        <w:t>300</w:t>
      </w:r>
      <w:r>
        <w:rPr>
          <w:rFonts w:hint="eastAsia" w:eastAsia="仿宋_GB2312"/>
          <w:color w:val="auto"/>
          <w:highlight w:val="none"/>
        </w:rPr>
        <w:t>亿级集群。加强装配式建筑部品部件核心技术、新产品的开发，重点发展高性能门窗、环境一体机、保温系统、节能玻璃、专用特种材料等被动式超低能耗建筑专用核心部品。推进装配式建筑外围护墙、内隔墙、装修与设备管线等部品化发展。引导整体厨房、整体卫浴等部品集成化发展。加强自保温、阻燃、长寿命、可循环、环保的新型建材与建筑部品结合研发，推广适应装配式建筑的墙体与保温、装饰一体化技术。培育一批设计、生产、施工一体的装配式建筑龙头企业。推进秦皇岛国家</w:t>
      </w:r>
      <w:r>
        <w:rPr>
          <w:rFonts w:hint="eastAsia" w:eastAsia="仿宋_GB2312"/>
          <w:color w:val="auto"/>
          <w:highlight w:val="none"/>
          <w:lang w:eastAsia="zh-CN"/>
        </w:rPr>
        <w:t>级</w:t>
      </w:r>
      <w:r>
        <w:rPr>
          <w:rFonts w:hint="eastAsia" w:eastAsia="仿宋_GB2312"/>
          <w:color w:val="auto"/>
          <w:highlight w:val="none"/>
        </w:rPr>
        <w:t>装配式建筑范例城市建设、卢龙县省级装配式建筑示范县全产业链示范基地、抚宁区绿色建筑和超低能耗建筑产业示范基地建设，打造绿色建材、建筑专用设备制造、预制构件生产、技术服务等全产业链装配式建筑产业集群。围绕提高工业清洁生产、节能减排、污染治理等技术装备水平，大力发展过滤除尘、污水处理、空气净化、固废利用、噪音防治、环境监测、消毒防腐、节能降耗、环保仪器仪表、脱硫脱硝及余热余压利用、垃圾处理等环保设备、环保材料，重点培育思泰意达等一批技术先进、市场前景好、产品链条长、带动力大的环保骨干企业。</w:t>
      </w:r>
    </w:p>
    <w:p w14:paraId="313FE6F6">
      <w:pPr>
        <w:spacing w:line="560" w:lineRule="exact"/>
        <w:ind w:firstLine="640" w:firstLineChars="200"/>
        <w:outlineLvl w:val="2"/>
        <w:rPr>
          <w:b w:val="0"/>
          <w:bCs w:val="0"/>
          <w:color w:val="auto"/>
          <w:highlight w:val="none"/>
        </w:rPr>
      </w:pPr>
      <w:bookmarkStart w:id="173" w:name="_Toc15147"/>
      <w:bookmarkStart w:id="174" w:name="_Toc5363"/>
      <w:bookmarkStart w:id="175" w:name="_Toc20147"/>
      <w:r>
        <w:rPr>
          <w:rFonts w:hint="eastAsia"/>
          <w:b w:val="0"/>
          <w:bCs w:val="0"/>
          <w:color w:val="auto"/>
          <w:highlight w:val="none"/>
        </w:rPr>
        <w:t>（五）信息</w:t>
      </w:r>
      <w:bookmarkEnd w:id="173"/>
      <w:r>
        <w:rPr>
          <w:rFonts w:hint="eastAsia"/>
          <w:b w:val="0"/>
          <w:bCs w:val="0"/>
          <w:color w:val="auto"/>
          <w:highlight w:val="none"/>
        </w:rPr>
        <w:t>智能</w:t>
      </w:r>
      <w:bookmarkEnd w:id="174"/>
      <w:bookmarkEnd w:id="175"/>
      <w:r>
        <w:rPr>
          <w:b w:val="0"/>
          <w:bCs w:val="0"/>
          <w:color w:val="auto"/>
          <w:highlight w:val="none"/>
        </w:rPr>
        <w:tab/>
      </w:r>
    </w:p>
    <w:p w14:paraId="14EDF889">
      <w:pPr>
        <w:spacing w:line="560" w:lineRule="exact"/>
        <w:ind w:firstLine="640" w:firstLineChars="200"/>
        <w:rPr>
          <w:rFonts w:hint="eastAsia" w:eastAsia="仿宋_GB2312"/>
          <w:color w:val="auto"/>
          <w:highlight w:val="none"/>
        </w:rPr>
      </w:pPr>
      <w:r>
        <w:rPr>
          <w:rFonts w:hint="eastAsia" w:eastAsia="仿宋_GB2312"/>
          <w:color w:val="auto"/>
          <w:highlight w:val="none"/>
        </w:rPr>
        <w:t>以新兴电子产品为基础，以应用型电子产品和智能终端产品为核心，提升电子产品制造业的数字化、网络化和智能化水平。积极研发柔性线路板、高阶高密度连接板等产品，扩大在手机、电脑、消费性电子</w:t>
      </w:r>
      <w:r>
        <w:rPr>
          <w:rFonts w:hint="eastAsia" w:eastAsia="仿宋_GB2312"/>
          <w:color w:val="00B0F0"/>
          <w:highlight w:val="none"/>
          <w:lang w:eastAsia="zh-CN"/>
        </w:rPr>
        <w:t>产品</w:t>
      </w:r>
      <w:r>
        <w:rPr>
          <w:rFonts w:hint="eastAsia" w:eastAsia="仿宋_GB2312"/>
          <w:color w:val="auto"/>
          <w:highlight w:val="none"/>
        </w:rPr>
        <w:t>等领域的应用。大力发展安防消防电子产品，推动物联网技术和智能家居产品融合，促进智能家居产业快速发展。加快研发具备无线数据传输与远程诊断功能的先进技术，发展新型医疗电子产品。发展汽车电压调节器、电子油门、发电机电压调节器等汽车电子控制装置，开发压电式、应变式各类力学量传感器，推进北戴河智能传感器产业园建设。推进光电信息功能材料研发制备，开发红外光学晶体、紫外光学晶体、半导体晶体、闪烁晶体、特种光纤等系列光电功能材料与器件。研发磁粉芯及电感用软磁粉末、吸波材料用片状软磁粉末等各类合金粉末产品。聚焦重点领域前沿技术，加快新一代人工智能产业发展，拓展</w:t>
      </w:r>
      <w:r>
        <w:rPr>
          <w:rFonts w:hint="eastAsia" w:eastAsia="仿宋_GB2312"/>
          <w:color w:val="auto"/>
          <w:highlight w:val="none"/>
          <w:lang w:eastAsia="zh-CN"/>
        </w:rPr>
        <w:t>“</w:t>
      </w:r>
      <w:r>
        <w:rPr>
          <w:rFonts w:hint="eastAsia" w:eastAsia="仿宋_GB2312"/>
          <w:color w:val="auto"/>
          <w:highlight w:val="none"/>
        </w:rPr>
        <w:t>智能</w:t>
      </w:r>
      <w:r>
        <w:rPr>
          <w:rFonts w:eastAsia="仿宋_GB2312"/>
          <w:color w:val="auto"/>
          <w:highlight w:val="none"/>
        </w:rPr>
        <w:t>+</w:t>
      </w:r>
      <w:r>
        <w:rPr>
          <w:rFonts w:hint="eastAsia" w:eastAsia="仿宋_GB2312"/>
          <w:color w:val="auto"/>
          <w:highlight w:val="none"/>
          <w:lang w:eastAsia="zh-CN"/>
        </w:rPr>
        <w:t>”</w:t>
      </w:r>
      <w:r>
        <w:rPr>
          <w:rFonts w:hint="eastAsia" w:eastAsia="仿宋_GB2312"/>
          <w:color w:val="auto"/>
          <w:highlight w:val="none"/>
        </w:rPr>
        <w:t>，加快推进工业机器人、高动态导航控制、智慧消防物联网平台等重点项目，推动企业智能制造单元、智能生产线、数字化车间建设。加快</w:t>
      </w:r>
      <w:r>
        <w:rPr>
          <w:rFonts w:eastAsia="仿宋_GB2312"/>
          <w:color w:val="auto"/>
          <w:highlight w:val="none"/>
        </w:rPr>
        <w:t>5G</w:t>
      </w:r>
      <w:r>
        <w:rPr>
          <w:rFonts w:hint="eastAsia" w:eastAsia="仿宋_GB2312"/>
          <w:color w:val="auto"/>
          <w:highlight w:val="none"/>
        </w:rPr>
        <w:t>建设应用，推动</w:t>
      </w:r>
      <w:r>
        <w:rPr>
          <w:rFonts w:hint="eastAsia" w:eastAsia="仿宋_GB2312"/>
          <w:color w:val="auto"/>
          <w:highlight w:val="none"/>
          <w:lang w:eastAsia="zh-CN"/>
        </w:rPr>
        <w:t>“</w:t>
      </w:r>
      <w:r>
        <w:rPr>
          <w:rFonts w:eastAsia="仿宋_GB2312"/>
          <w:color w:val="auto"/>
          <w:highlight w:val="none"/>
        </w:rPr>
        <w:t>5G+</w:t>
      </w:r>
      <w:r>
        <w:rPr>
          <w:rFonts w:hint="eastAsia" w:eastAsia="仿宋_GB2312"/>
          <w:color w:val="auto"/>
          <w:highlight w:val="none"/>
        </w:rPr>
        <w:t>工业互联网</w:t>
      </w:r>
      <w:r>
        <w:rPr>
          <w:rFonts w:hint="eastAsia" w:eastAsia="仿宋_GB2312"/>
          <w:color w:val="auto"/>
          <w:highlight w:val="none"/>
          <w:lang w:eastAsia="zh-CN"/>
        </w:rPr>
        <w:t>”</w:t>
      </w:r>
      <w:r>
        <w:rPr>
          <w:rFonts w:hint="eastAsia" w:eastAsia="仿宋_GB2312"/>
          <w:color w:val="auto"/>
          <w:highlight w:val="none"/>
        </w:rPr>
        <w:t>战略合作，推进</w:t>
      </w:r>
      <w:r>
        <w:rPr>
          <w:rFonts w:hint="eastAsia" w:eastAsia="仿宋_GB2312"/>
          <w:color w:val="auto"/>
          <w:highlight w:val="none"/>
          <w:lang w:eastAsia="zh-CN"/>
        </w:rPr>
        <w:t>“</w:t>
      </w:r>
      <w:r>
        <w:rPr>
          <w:rFonts w:hint="eastAsia" w:eastAsia="仿宋_GB2312"/>
          <w:color w:val="auto"/>
          <w:highlight w:val="none"/>
        </w:rPr>
        <w:t>千企上云</w:t>
      </w:r>
      <w:r>
        <w:rPr>
          <w:rFonts w:hint="eastAsia" w:eastAsia="仿宋_GB2312"/>
          <w:color w:val="auto"/>
          <w:highlight w:val="none"/>
          <w:lang w:eastAsia="zh-CN"/>
        </w:rPr>
        <w:t>”</w:t>
      </w:r>
      <w:r>
        <w:rPr>
          <w:rFonts w:hint="eastAsia" w:eastAsia="仿宋_GB2312"/>
          <w:color w:val="auto"/>
          <w:highlight w:val="none"/>
        </w:rPr>
        <w:t>，到</w:t>
      </w:r>
      <w:r>
        <w:rPr>
          <w:rFonts w:eastAsia="仿宋_GB2312"/>
          <w:color w:val="auto"/>
          <w:highlight w:val="none"/>
        </w:rPr>
        <w:t>2025</w:t>
      </w:r>
      <w:r>
        <w:rPr>
          <w:rFonts w:hint="eastAsia" w:eastAsia="仿宋_GB2312"/>
          <w:color w:val="auto"/>
          <w:highlight w:val="none"/>
        </w:rPr>
        <w:t>年，形成</w:t>
      </w:r>
      <w:r>
        <w:rPr>
          <w:rFonts w:eastAsia="仿宋_GB2312"/>
          <w:color w:val="auto"/>
          <w:highlight w:val="none"/>
        </w:rPr>
        <w:t>300</w:t>
      </w:r>
      <w:r>
        <w:rPr>
          <w:rFonts w:hint="eastAsia" w:eastAsia="仿宋_GB2312"/>
          <w:color w:val="auto"/>
          <w:highlight w:val="none"/>
        </w:rPr>
        <w:t>亿级信息智能产业集群。</w:t>
      </w:r>
    </w:p>
    <w:p w14:paraId="4EDF9DEA">
      <w:pPr>
        <w:rPr>
          <w:color w:val="auto"/>
          <w:highlight w:val="none"/>
        </w:rPr>
      </w:pPr>
    </w:p>
    <w:p w14:paraId="751F155D">
      <w:pPr>
        <w:pStyle w:val="9"/>
        <w:rPr>
          <w:color w:val="auto"/>
        </w:rPr>
      </w:pPr>
    </w:p>
    <w:tbl>
      <w:tblPr>
        <w:tblStyle w:val="17"/>
        <w:tblpPr w:leftFromText="180" w:rightFromText="180" w:vertAnchor="text" w:horzAnchor="page" w:tblpX="1760" w:tblpY="50"/>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70CC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0" w:type="dxa"/>
          </w:tcPr>
          <w:p w14:paraId="21AB8B0F">
            <w:pPr>
              <w:spacing w:line="360" w:lineRule="exact"/>
              <w:jc w:val="center"/>
              <w:rPr>
                <w:color w:val="auto"/>
                <w:sz w:val="24"/>
                <w:szCs w:val="24"/>
                <w:highlight w:val="none"/>
              </w:rPr>
            </w:pPr>
            <w:r>
              <w:rPr>
                <w:rFonts w:hint="eastAsia" w:eastAsia="黑体"/>
                <w:color w:val="auto"/>
                <w:sz w:val="24"/>
                <w:szCs w:val="24"/>
                <w:highlight w:val="none"/>
              </w:rPr>
              <w:t>专栏</w:t>
            </w:r>
            <w:r>
              <w:rPr>
                <w:rFonts w:eastAsia="黑体"/>
                <w:color w:val="auto"/>
                <w:sz w:val="24"/>
                <w:szCs w:val="24"/>
                <w:highlight w:val="none"/>
              </w:rPr>
              <w:t>1</w:t>
            </w:r>
            <w:r>
              <w:rPr>
                <w:rFonts w:hint="eastAsia" w:eastAsia="黑体"/>
                <w:color w:val="auto"/>
                <w:sz w:val="24"/>
                <w:szCs w:val="24"/>
                <w:highlight w:val="none"/>
              </w:rPr>
              <w:t>：先进制造业</w:t>
            </w:r>
          </w:p>
        </w:tc>
      </w:tr>
      <w:tr w14:paraId="157B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9000" w:type="dxa"/>
          </w:tcPr>
          <w:p w14:paraId="277A56D3">
            <w:pPr>
              <w:spacing w:line="320" w:lineRule="exact"/>
              <w:ind w:firstLine="422" w:firstLineChars="200"/>
              <w:rPr>
                <w:rFonts w:eastAsia="宋体"/>
                <w:bCs/>
                <w:color w:val="auto"/>
                <w:sz w:val="21"/>
                <w:szCs w:val="21"/>
                <w:highlight w:val="none"/>
              </w:rPr>
            </w:pPr>
            <w:bookmarkStart w:id="176" w:name="_Toc25969"/>
            <w:r>
              <w:rPr>
                <w:rFonts w:eastAsia="宋体"/>
                <w:b/>
                <w:color w:val="auto"/>
                <w:sz w:val="21"/>
                <w:szCs w:val="21"/>
                <w:highlight w:val="none"/>
              </w:rPr>
              <w:t>1.</w:t>
            </w:r>
            <w:r>
              <w:rPr>
                <w:rFonts w:hint="eastAsia" w:eastAsia="宋体"/>
                <w:b/>
                <w:color w:val="auto"/>
                <w:sz w:val="21"/>
                <w:szCs w:val="21"/>
                <w:highlight w:val="none"/>
              </w:rPr>
              <w:t>装备制造。</w:t>
            </w:r>
            <w:r>
              <w:rPr>
                <w:rFonts w:hint="eastAsia" w:eastAsia="宋体"/>
                <w:bCs/>
                <w:color w:val="auto"/>
                <w:sz w:val="21"/>
                <w:szCs w:val="21"/>
                <w:highlight w:val="none"/>
              </w:rPr>
              <w:t>中信渤铝、朗威汽车、方华埃西姆</w:t>
            </w:r>
            <w:r>
              <w:rPr>
                <w:rFonts w:hint="eastAsia" w:eastAsia="宋体"/>
                <w:bCs/>
                <w:color w:val="auto"/>
                <w:sz w:val="21"/>
                <w:szCs w:val="21"/>
                <w:highlight w:val="none"/>
                <w:lang w:eastAsia="zh-CN"/>
              </w:rPr>
              <w:t>等</w:t>
            </w:r>
            <w:r>
              <w:rPr>
                <w:rFonts w:hint="eastAsia" w:eastAsia="宋体"/>
                <w:bCs/>
                <w:color w:val="auto"/>
                <w:sz w:val="21"/>
                <w:szCs w:val="21"/>
                <w:highlight w:val="none"/>
              </w:rPr>
              <w:t>汽车零部件加工</w:t>
            </w:r>
            <w:r>
              <w:rPr>
                <w:rFonts w:hint="eastAsia" w:eastAsia="宋体"/>
                <w:bCs/>
                <w:color w:val="auto"/>
                <w:sz w:val="21"/>
                <w:szCs w:val="21"/>
                <w:highlight w:val="none"/>
                <w:lang w:eastAsia="zh-CN"/>
              </w:rPr>
              <w:t>项目</w:t>
            </w:r>
            <w:r>
              <w:rPr>
                <w:rFonts w:hint="eastAsia" w:eastAsia="宋体"/>
                <w:bCs/>
                <w:color w:val="auto"/>
                <w:sz w:val="21"/>
                <w:szCs w:val="21"/>
                <w:highlight w:val="none"/>
              </w:rPr>
              <w:t>，轨道交通装备产业园、哈电通用燃气轮机一期厂房改建、耀华智能船艇制造、山海关高端装备制造产业园、开发区普润科技新建项目、卢龙县冶金矿山通用设备生产线、泰和安消防科技创新产业园、本征晶体光学材料研发与产业化、丰泰工厂智能化、云铁科技智能装配工厂、晟成光伏自动化设备生产及研发、北翔航空无人机、天业通联高端装备制造、卢龙县中青产业园、中科铁路钢结构生产线、莱特流体示范基地、威乐水泵电机。</w:t>
            </w:r>
            <w:bookmarkEnd w:id="176"/>
          </w:p>
          <w:p w14:paraId="713BCE6C">
            <w:pPr>
              <w:spacing w:line="320" w:lineRule="exact"/>
              <w:ind w:firstLine="422" w:firstLineChars="200"/>
              <w:rPr>
                <w:rFonts w:eastAsia="宋体"/>
                <w:bCs/>
                <w:color w:val="auto"/>
                <w:sz w:val="21"/>
                <w:szCs w:val="21"/>
                <w:highlight w:val="none"/>
              </w:rPr>
            </w:pPr>
            <w:r>
              <w:rPr>
                <w:rFonts w:eastAsia="宋体"/>
                <w:b/>
                <w:color w:val="auto"/>
                <w:sz w:val="21"/>
                <w:szCs w:val="21"/>
                <w:highlight w:val="none"/>
              </w:rPr>
              <w:t>2.</w:t>
            </w:r>
            <w:r>
              <w:rPr>
                <w:rFonts w:hint="eastAsia" w:eastAsia="宋体"/>
                <w:b/>
                <w:color w:val="auto"/>
                <w:sz w:val="21"/>
                <w:szCs w:val="21"/>
                <w:highlight w:val="none"/>
              </w:rPr>
              <w:t>金属压延。</w:t>
            </w:r>
            <w:r>
              <w:rPr>
                <w:rFonts w:hint="eastAsia" w:eastAsia="宋体"/>
                <w:bCs/>
                <w:color w:val="auto"/>
                <w:sz w:val="21"/>
                <w:szCs w:val="21"/>
                <w:highlight w:val="none"/>
              </w:rPr>
              <w:t>安丰钢铁新型材料深加工</w:t>
            </w:r>
            <w:r>
              <w:rPr>
                <w:rFonts w:hint="eastAsia" w:eastAsia="宋体"/>
                <w:bCs/>
                <w:color w:val="auto"/>
                <w:sz w:val="21"/>
                <w:szCs w:val="21"/>
                <w:highlight w:val="none"/>
                <w:lang w:eastAsia="zh-CN"/>
              </w:rPr>
              <w:t>、</w:t>
            </w:r>
            <w:r>
              <w:rPr>
                <w:rFonts w:hint="eastAsia" w:eastAsia="宋体"/>
                <w:bCs/>
                <w:color w:val="auto"/>
                <w:sz w:val="21"/>
                <w:szCs w:val="21"/>
                <w:highlight w:val="none"/>
              </w:rPr>
              <w:t>宏兴钢铁年产</w:t>
            </w:r>
            <w:r>
              <w:rPr>
                <w:rFonts w:eastAsia="宋体"/>
                <w:bCs/>
                <w:color w:val="auto"/>
                <w:sz w:val="21"/>
                <w:szCs w:val="21"/>
                <w:highlight w:val="none"/>
              </w:rPr>
              <w:t>100</w:t>
            </w:r>
            <w:r>
              <w:rPr>
                <w:rFonts w:hint="eastAsia" w:eastAsia="宋体"/>
                <w:bCs/>
                <w:color w:val="auto"/>
                <w:sz w:val="21"/>
                <w:szCs w:val="21"/>
                <w:highlight w:val="none"/>
              </w:rPr>
              <w:t>万吨精品棒材</w:t>
            </w:r>
            <w:r>
              <w:rPr>
                <w:rFonts w:hint="eastAsia" w:eastAsia="宋体"/>
                <w:bCs/>
                <w:color w:val="auto"/>
                <w:sz w:val="21"/>
                <w:szCs w:val="21"/>
                <w:highlight w:val="none"/>
                <w:lang w:eastAsia="zh-CN"/>
              </w:rPr>
              <w:t>和</w:t>
            </w:r>
            <w:r>
              <w:rPr>
                <w:rFonts w:hint="eastAsia" w:eastAsia="宋体"/>
                <w:bCs/>
                <w:color w:val="auto"/>
                <w:sz w:val="21"/>
                <w:szCs w:val="21"/>
                <w:highlight w:val="none"/>
              </w:rPr>
              <w:t>年产</w:t>
            </w:r>
            <w:r>
              <w:rPr>
                <w:rFonts w:eastAsia="宋体"/>
                <w:bCs/>
                <w:color w:val="auto"/>
                <w:sz w:val="21"/>
                <w:szCs w:val="21"/>
                <w:highlight w:val="none"/>
              </w:rPr>
              <w:t>18</w:t>
            </w:r>
            <w:r>
              <w:rPr>
                <w:rFonts w:hint="eastAsia" w:eastAsia="宋体"/>
                <w:bCs/>
                <w:color w:val="auto"/>
                <w:sz w:val="21"/>
                <w:szCs w:val="21"/>
                <w:highlight w:val="none"/>
              </w:rPr>
              <w:t>万吨焊材生产线</w:t>
            </w:r>
            <w:r>
              <w:rPr>
                <w:rFonts w:hint="eastAsia" w:eastAsia="宋体"/>
                <w:bCs/>
                <w:color w:val="auto"/>
                <w:sz w:val="21"/>
                <w:szCs w:val="21"/>
                <w:highlight w:val="none"/>
                <w:lang w:eastAsia="zh-CN"/>
              </w:rPr>
              <w:t>、</w:t>
            </w:r>
            <w:r>
              <w:rPr>
                <w:rFonts w:hint="eastAsia" w:eastAsia="宋体"/>
                <w:bCs/>
                <w:color w:val="auto"/>
                <w:sz w:val="21"/>
                <w:szCs w:val="21"/>
                <w:highlight w:val="none"/>
              </w:rPr>
              <w:t>佰工钢铁产品结构调整、德龙铸业钒钢产业延伸、兴国精密机件智能铸造产业园、卢龙县高延冷轧带肋钢筋及固废胶凝材料、润丰公司年产</w:t>
            </w:r>
            <w:r>
              <w:rPr>
                <w:rFonts w:eastAsia="宋体"/>
                <w:bCs/>
                <w:color w:val="auto"/>
                <w:sz w:val="21"/>
                <w:szCs w:val="21"/>
                <w:highlight w:val="none"/>
              </w:rPr>
              <w:t xml:space="preserve">100 </w:t>
            </w:r>
            <w:r>
              <w:rPr>
                <w:rFonts w:hint="eastAsia" w:eastAsia="宋体"/>
                <w:bCs/>
                <w:color w:val="auto"/>
                <w:sz w:val="21"/>
                <w:szCs w:val="21"/>
                <w:highlight w:val="none"/>
              </w:rPr>
              <w:t>万吨镀锌带钢、顺先钢铁镀锌带钢焊管。</w:t>
            </w:r>
          </w:p>
          <w:p w14:paraId="7B1774EF">
            <w:pPr>
              <w:spacing w:line="320" w:lineRule="exact"/>
              <w:ind w:firstLine="422" w:firstLineChars="200"/>
              <w:rPr>
                <w:rFonts w:eastAsia="宋体"/>
                <w:bCs/>
                <w:color w:val="auto"/>
                <w:sz w:val="21"/>
                <w:szCs w:val="21"/>
                <w:highlight w:val="none"/>
              </w:rPr>
            </w:pPr>
            <w:r>
              <w:rPr>
                <w:rFonts w:eastAsia="宋体"/>
                <w:b/>
                <w:color w:val="auto"/>
                <w:sz w:val="21"/>
                <w:szCs w:val="21"/>
                <w:highlight w:val="none"/>
              </w:rPr>
              <w:t>3.</w:t>
            </w:r>
            <w:r>
              <w:rPr>
                <w:rFonts w:hint="eastAsia" w:eastAsia="宋体"/>
                <w:b/>
                <w:color w:val="auto"/>
                <w:sz w:val="21"/>
                <w:szCs w:val="21"/>
                <w:highlight w:val="none"/>
              </w:rPr>
              <w:t>食品加工。</w:t>
            </w:r>
            <w:bookmarkStart w:id="177" w:name="_Toc29459"/>
            <w:bookmarkStart w:id="178" w:name="_Toc3136"/>
            <w:r>
              <w:rPr>
                <w:rFonts w:hint="eastAsia" w:eastAsia="宋体"/>
                <w:bCs/>
                <w:color w:val="auto"/>
                <w:sz w:val="21"/>
                <w:szCs w:val="21"/>
                <w:highlight w:val="none"/>
              </w:rPr>
              <w:t>益海嘉里粮油食品加工产业园、骊骅淀粉大型玉米深加工产业园、干红葡萄酒产业改造升级工程、北京佳龙食品产业园、正大食品二期、中粮鹏泰面业扩建、抚宁锦绣大地农批市场、正大公司鲜食工厂、海东青海产品深加工、中储粮海港粮食储备基地、道道全粮油加工、河北康恩菲德高能量机能食品、金海食品功能性浓缩蛋白车间、中薯农业科技园甘薯深加工、辽宁五丰蜂产品深加工、河北丰科珍稀食用菌生产加工。</w:t>
            </w:r>
          </w:p>
          <w:p w14:paraId="14E335D7">
            <w:pPr>
              <w:spacing w:line="320" w:lineRule="exact"/>
              <w:ind w:firstLine="422" w:firstLineChars="200"/>
              <w:rPr>
                <w:rFonts w:eastAsia="宋体"/>
                <w:bCs/>
                <w:color w:val="auto"/>
                <w:sz w:val="21"/>
                <w:szCs w:val="21"/>
                <w:highlight w:val="none"/>
              </w:rPr>
            </w:pPr>
            <w:r>
              <w:rPr>
                <w:rFonts w:eastAsia="宋体"/>
                <w:b/>
                <w:color w:val="auto"/>
                <w:sz w:val="21"/>
                <w:szCs w:val="21"/>
                <w:highlight w:val="none"/>
              </w:rPr>
              <w:t>4.</w:t>
            </w:r>
            <w:r>
              <w:rPr>
                <w:rFonts w:hint="eastAsia" w:eastAsia="宋体"/>
                <w:b/>
                <w:color w:val="auto"/>
                <w:sz w:val="21"/>
                <w:szCs w:val="21"/>
                <w:highlight w:val="none"/>
              </w:rPr>
              <w:t>绿色建筑及节能环保。</w:t>
            </w:r>
            <w:r>
              <w:rPr>
                <w:rFonts w:hint="eastAsia" w:eastAsia="宋体"/>
                <w:bCs/>
                <w:color w:val="auto"/>
                <w:sz w:val="21"/>
                <w:szCs w:val="21"/>
                <w:highlight w:val="none"/>
              </w:rPr>
              <w:t>耀华集团新型功能玻璃绿色制造产业园、海港区铭晶源玻璃深加工产业园、卢龙县装配式产业基地、中秦兴龙新型绿色建材产业园、保信鲁班装配式新材料产业园、领标科技新型节能超薄岩板、煜明混凝土构件产业园、万建隆镁基新型建筑材料产业化、嘉寓集团采暖智能装备、斯立德氧化锆陶瓷生产研发基地、开发区工业园节能环保产业区、青龙海港等北部废弃资源综合开发利用、</w:t>
            </w:r>
            <w:r>
              <w:rPr>
                <w:rFonts w:hint="eastAsia" w:eastAsia="宋体"/>
                <w:bCs/>
                <w:color w:val="auto"/>
                <w:sz w:val="21"/>
                <w:szCs w:val="21"/>
                <w:highlight w:val="none"/>
                <w:lang w:eastAsia="zh-CN"/>
              </w:rPr>
              <w:t>青龙满族自治县</w:t>
            </w:r>
            <w:r>
              <w:rPr>
                <w:rFonts w:hint="eastAsia" w:eastAsia="宋体"/>
                <w:bCs/>
                <w:color w:val="auto"/>
                <w:sz w:val="21"/>
                <w:szCs w:val="21"/>
                <w:highlight w:val="none"/>
              </w:rPr>
              <w:t>节能环保绿色资源综合利用循环经济、</w:t>
            </w:r>
            <w:r>
              <w:rPr>
                <w:rFonts w:hint="eastAsia" w:eastAsia="宋体"/>
                <w:bCs/>
                <w:color w:val="auto"/>
                <w:sz w:val="21"/>
                <w:szCs w:val="21"/>
                <w:highlight w:val="none"/>
                <w:lang w:eastAsia="zh-CN"/>
              </w:rPr>
              <w:t>青龙满族自治县</w:t>
            </w:r>
            <w:r>
              <w:rPr>
                <w:rFonts w:hint="eastAsia" w:eastAsia="宋体"/>
                <w:bCs/>
                <w:color w:val="auto"/>
                <w:sz w:val="21"/>
                <w:szCs w:val="21"/>
                <w:highlight w:val="none"/>
              </w:rPr>
              <w:t>农业废弃物资源综合利用。</w:t>
            </w:r>
          </w:p>
          <w:bookmarkEnd w:id="177"/>
          <w:bookmarkEnd w:id="178"/>
          <w:p w14:paraId="7059A18B">
            <w:pPr>
              <w:pStyle w:val="40"/>
              <w:widowControl/>
              <w:spacing w:line="320" w:lineRule="exact"/>
              <w:ind w:firstLine="0" w:firstLineChars="0"/>
              <w:rPr>
                <w:color w:val="auto"/>
                <w:highlight w:val="none"/>
              </w:rPr>
            </w:pPr>
            <w:r>
              <w:rPr>
                <w:b/>
                <w:color w:val="auto"/>
                <w:sz w:val="21"/>
                <w:szCs w:val="21"/>
                <w:highlight w:val="none"/>
              </w:rPr>
              <w:t xml:space="preserve">    5.</w:t>
            </w:r>
            <w:r>
              <w:rPr>
                <w:rFonts w:hint="eastAsia"/>
                <w:b/>
                <w:color w:val="auto"/>
                <w:sz w:val="21"/>
                <w:szCs w:val="21"/>
                <w:highlight w:val="none"/>
              </w:rPr>
              <w:t>信息智能。</w:t>
            </w:r>
            <w:r>
              <w:rPr>
                <w:rFonts w:hint="eastAsia"/>
                <w:bCs/>
                <w:color w:val="auto"/>
                <w:sz w:val="21"/>
                <w:szCs w:val="21"/>
                <w:highlight w:val="none"/>
              </w:rPr>
              <w:t>康泰医学产业园、河北亿广云数据产业园、中兴网信智慧城市北方基地大数据产业园、河北数微智慧终端设备、山海关京津冀电子信息数字产业园、海港数字经济产业园、中以科技园、碁鼎科技封装载板产业化、富连京电子半导体温差电产品、燕秦纳米集成电路材料及零部件生产、颐高数字经济产业园、宏启胜产业升级。</w:t>
            </w:r>
          </w:p>
        </w:tc>
      </w:tr>
    </w:tbl>
    <w:p w14:paraId="1939A870">
      <w:pPr>
        <w:spacing w:line="560" w:lineRule="exact"/>
        <w:ind w:firstLine="640" w:firstLineChars="200"/>
        <w:outlineLvl w:val="1"/>
        <w:rPr>
          <w:rFonts w:eastAsia="黑体"/>
          <w:color w:val="auto"/>
          <w:highlight w:val="none"/>
        </w:rPr>
      </w:pPr>
      <w:bookmarkStart w:id="179" w:name="_Toc15231"/>
      <w:bookmarkStart w:id="180" w:name="_Toc591"/>
      <w:bookmarkStart w:id="181" w:name="_Toc30153"/>
      <w:r>
        <w:rPr>
          <w:rFonts w:hint="eastAsia" w:eastAsia="黑体"/>
          <w:color w:val="auto"/>
          <w:highlight w:val="none"/>
        </w:rPr>
        <w:t>二、</w:t>
      </w:r>
      <w:bookmarkEnd w:id="179"/>
      <w:r>
        <w:rPr>
          <w:rFonts w:hint="eastAsia" w:eastAsia="黑体"/>
          <w:color w:val="auto"/>
          <w:highlight w:val="none"/>
        </w:rPr>
        <w:t>加快发展</w:t>
      </w:r>
      <w:r>
        <w:rPr>
          <w:rFonts w:hint="eastAsia" w:eastAsia="黑体"/>
          <w:color w:val="auto"/>
          <w:highlight w:val="none"/>
          <w:lang w:eastAsia="zh-CN"/>
        </w:rPr>
        <w:t>城市特色产业</w:t>
      </w:r>
      <w:bookmarkEnd w:id="180"/>
      <w:bookmarkEnd w:id="181"/>
    </w:p>
    <w:p w14:paraId="4E6FA9CE">
      <w:pPr>
        <w:spacing w:line="560" w:lineRule="exact"/>
        <w:ind w:firstLine="640" w:firstLineChars="200"/>
        <w:outlineLvl w:val="9"/>
        <w:rPr>
          <w:rFonts w:eastAsia="仿宋_GB2312"/>
          <w:color w:val="auto"/>
          <w:highlight w:val="none"/>
        </w:rPr>
      </w:pPr>
      <w:r>
        <w:rPr>
          <w:rFonts w:hint="eastAsia" w:eastAsia="仿宋_GB2312"/>
          <w:color w:val="auto"/>
          <w:highlight w:val="none"/>
        </w:rPr>
        <w:t>顺应产业发展潮流，</w:t>
      </w:r>
      <w:r>
        <w:rPr>
          <w:rFonts w:hint="eastAsia" w:eastAsia="仿宋_GB2312"/>
          <w:color w:val="auto"/>
          <w:highlight w:val="none"/>
          <w:lang w:eastAsia="zh-CN"/>
        </w:rPr>
        <w:t>积极壮大生命健康、文体旅游、临港物流等城市特色产业，</w:t>
      </w:r>
      <w:r>
        <w:rPr>
          <w:rFonts w:hint="eastAsia" w:eastAsia="仿宋_GB2312"/>
          <w:color w:val="auto"/>
          <w:highlight w:val="none"/>
        </w:rPr>
        <w:t>超前规划布局未来</w:t>
      </w:r>
      <w:r>
        <w:rPr>
          <w:rFonts w:hint="eastAsia" w:eastAsia="仿宋_GB2312"/>
          <w:color w:val="00B0F0"/>
          <w:highlight w:val="none"/>
          <w:lang w:eastAsia="zh-CN"/>
        </w:rPr>
        <w:t>高潜</w:t>
      </w:r>
      <w:r>
        <w:rPr>
          <w:rFonts w:hint="eastAsia" w:eastAsia="仿宋_GB2312"/>
          <w:color w:val="auto"/>
          <w:highlight w:val="none"/>
        </w:rPr>
        <w:t>产业</w:t>
      </w:r>
      <w:r>
        <w:rPr>
          <w:rFonts w:hint="eastAsia" w:eastAsia="仿宋_GB2312"/>
          <w:color w:val="auto"/>
          <w:highlight w:val="none"/>
          <w:lang w:eastAsia="zh-CN"/>
        </w:rPr>
        <w:t>，</w:t>
      </w:r>
      <w:r>
        <w:rPr>
          <w:rFonts w:hint="eastAsia" w:eastAsia="仿宋_GB2312"/>
          <w:color w:val="auto"/>
          <w:highlight w:val="none"/>
        </w:rPr>
        <w:t>增强高质量发展新动能。</w:t>
      </w:r>
    </w:p>
    <w:p w14:paraId="34F7AF02">
      <w:pPr>
        <w:spacing w:line="560" w:lineRule="exact"/>
        <w:ind w:firstLine="640" w:firstLineChars="200"/>
        <w:outlineLvl w:val="2"/>
        <w:rPr>
          <w:b w:val="0"/>
          <w:bCs w:val="0"/>
          <w:color w:val="auto"/>
          <w:highlight w:val="none"/>
        </w:rPr>
      </w:pPr>
      <w:bookmarkStart w:id="182" w:name="_Toc26137"/>
      <w:bookmarkStart w:id="183" w:name="_Toc20191"/>
      <w:bookmarkStart w:id="184" w:name="_Toc32422"/>
      <w:r>
        <w:rPr>
          <w:rFonts w:hint="eastAsia"/>
          <w:b w:val="0"/>
          <w:bCs w:val="0"/>
          <w:color w:val="auto"/>
          <w:highlight w:val="none"/>
        </w:rPr>
        <w:t>（一）生命健康</w:t>
      </w:r>
      <w:bookmarkEnd w:id="182"/>
      <w:bookmarkEnd w:id="183"/>
      <w:bookmarkEnd w:id="184"/>
      <w:r>
        <w:rPr>
          <w:b w:val="0"/>
          <w:bCs w:val="0"/>
          <w:color w:val="auto"/>
          <w:highlight w:val="none"/>
        </w:rPr>
        <w:tab/>
      </w:r>
    </w:p>
    <w:p w14:paraId="241FD043">
      <w:pPr>
        <w:spacing w:line="560" w:lineRule="exact"/>
        <w:ind w:firstLine="640" w:firstLineChars="200"/>
        <w:rPr>
          <w:rFonts w:eastAsia="仿宋_GB2312"/>
          <w:color w:val="auto"/>
          <w:highlight w:val="none"/>
        </w:rPr>
      </w:pPr>
      <w:r>
        <w:rPr>
          <w:rFonts w:hint="eastAsia" w:eastAsia="仿宋_GB2312"/>
          <w:color w:val="auto"/>
          <w:highlight w:val="none"/>
        </w:rPr>
        <w:t>坚持以康带养、以养促康、康养结合，推动生命健康产业加快发展，形成经济高质量发展的新增长点。依托北戴河休疗品牌，大力发展生物医药研发生产、医疗服务、康复疗养、健康管理、医疗旅游等产业，培育集</w:t>
      </w:r>
      <w:r>
        <w:rPr>
          <w:rFonts w:hint="eastAsia" w:eastAsia="仿宋_GB2312"/>
          <w:color w:val="auto"/>
          <w:highlight w:val="none"/>
          <w:lang w:eastAsia="zh-CN"/>
        </w:rPr>
        <w:t>“</w:t>
      </w:r>
      <w:r>
        <w:rPr>
          <w:rFonts w:hint="eastAsia" w:eastAsia="仿宋_GB2312"/>
          <w:color w:val="auto"/>
          <w:highlight w:val="none"/>
        </w:rPr>
        <w:t>医、药、养、健、游</w:t>
      </w:r>
      <w:r>
        <w:rPr>
          <w:rFonts w:hint="eastAsia" w:eastAsia="仿宋_GB2312"/>
          <w:color w:val="auto"/>
          <w:highlight w:val="none"/>
          <w:lang w:eastAsia="zh-CN"/>
        </w:rPr>
        <w:t>”</w:t>
      </w:r>
      <w:r>
        <w:rPr>
          <w:rFonts w:hint="eastAsia" w:eastAsia="仿宋_GB2312"/>
          <w:color w:val="auto"/>
          <w:highlight w:val="none"/>
        </w:rPr>
        <w:t>于一体的世界一流生命健康产业链集群。大力发展生物医药、中医药养生以及相关健康产业，推进中关村生命园昌黎科创基地、青龙中草药种植加工基地建设，积极发展中药饮片加工、植物药提取、现代中药制剂等高端中药产业。深化与国康中心战略合作，推进</w:t>
      </w:r>
      <w:r>
        <w:rPr>
          <w:rFonts w:hint="eastAsia" w:eastAsia="仿宋_GB2312"/>
          <w:color w:val="auto"/>
          <w:highlight w:val="none"/>
          <w:lang w:eastAsia="zh-CN"/>
        </w:rPr>
        <w:t>“</w:t>
      </w:r>
      <w:r>
        <w:rPr>
          <w:rFonts w:hint="eastAsia" w:eastAsia="仿宋_GB2312"/>
          <w:color w:val="auto"/>
          <w:highlight w:val="none"/>
        </w:rPr>
        <w:t>一区两园</w:t>
      </w:r>
      <w:r>
        <w:rPr>
          <w:rFonts w:hint="eastAsia" w:eastAsia="仿宋_GB2312"/>
          <w:color w:val="auto"/>
          <w:highlight w:val="none"/>
          <w:lang w:eastAsia="zh-CN"/>
        </w:rPr>
        <w:t>”</w:t>
      </w:r>
      <w:r>
        <w:rPr>
          <w:rFonts w:hint="eastAsia" w:eastAsia="仿宋_GB2312"/>
          <w:color w:val="auto"/>
          <w:highlight w:val="none"/>
        </w:rPr>
        <w:t>项目建设，积极引进国内外知名康复器具龙头企业，推进矫形器和假肢、个人移动辅助器具、个人生活自理和防护辅助器具、通讯信息和讯号辅助器具、技能训练辅助器具、个人医疗辅助器具等产品研发制造，全力打造国内重要的康复辅助器具研发生产基地。建设一批现代康复疗养中心，打造绿色生态医疗健康和老年养护基地。促进健康产业与体育、健身、旅游、休闲多业态融合，力争到</w:t>
      </w:r>
      <w:r>
        <w:rPr>
          <w:rFonts w:eastAsia="仿宋_GB2312"/>
          <w:color w:val="auto"/>
          <w:highlight w:val="none"/>
        </w:rPr>
        <w:t>2025</w:t>
      </w:r>
      <w:r>
        <w:rPr>
          <w:rFonts w:hint="eastAsia" w:eastAsia="仿宋_GB2312"/>
          <w:color w:val="auto"/>
          <w:highlight w:val="none"/>
        </w:rPr>
        <w:t>年，建成高水平覆盖全生命周期、内涵丰富、结构合理的生命健康产业体系。</w:t>
      </w:r>
    </w:p>
    <w:p w14:paraId="2BF5820D">
      <w:pPr>
        <w:spacing w:line="560" w:lineRule="exact"/>
        <w:ind w:firstLine="640" w:firstLineChars="200"/>
        <w:outlineLvl w:val="2"/>
        <w:rPr>
          <w:b w:val="0"/>
          <w:bCs w:val="0"/>
          <w:color w:val="auto"/>
          <w:highlight w:val="none"/>
        </w:rPr>
      </w:pPr>
      <w:bookmarkStart w:id="185" w:name="_Toc22109"/>
      <w:bookmarkStart w:id="186" w:name="_Toc23705"/>
      <w:bookmarkStart w:id="187" w:name="_Toc32398"/>
      <w:r>
        <w:rPr>
          <w:rFonts w:hint="eastAsia"/>
          <w:b w:val="0"/>
          <w:bCs w:val="0"/>
          <w:color w:val="auto"/>
          <w:highlight w:val="none"/>
        </w:rPr>
        <w:t>（二）文体旅游</w:t>
      </w:r>
      <w:bookmarkEnd w:id="185"/>
      <w:bookmarkEnd w:id="186"/>
      <w:bookmarkEnd w:id="187"/>
    </w:p>
    <w:p w14:paraId="46DA75C3">
      <w:pPr>
        <w:spacing w:line="560" w:lineRule="exact"/>
        <w:ind w:firstLine="640" w:firstLineChars="200"/>
        <w:rPr>
          <w:rFonts w:hint="eastAsia" w:eastAsia="仿宋_GB2312"/>
          <w:color w:val="auto"/>
          <w:highlight w:val="none"/>
          <w:lang w:eastAsia="zh-CN"/>
        </w:rPr>
      </w:pPr>
      <w:r>
        <w:rPr>
          <w:rFonts w:hint="eastAsia" w:eastAsia="仿宋_GB2312"/>
          <w:color w:val="auto"/>
          <w:highlight w:val="none"/>
        </w:rPr>
        <w:t>坚持</w:t>
      </w:r>
      <w:r>
        <w:rPr>
          <w:rFonts w:hint="eastAsia" w:eastAsia="仿宋_GB2312"/>
          <w:color w:val="auto"/>
          <w:highlight w:val="none"/>
          <w:lang w:eastAsia="zh-CN"/>
        </w:rPr>
        <w:t>“</w:t>
      </w:r>
      <w:r>
        <w:rPr>
          <w:rFonts w:hint="eastAsia" w:eastAsia="仿宋_GB2312"/>
          <w:color w:val="auto"/>
          <w:highlight w:val="none"/>
        </w:rPr>
        <w:t>世界眼光、国际标准</w:t>
      </w:r>
      <w:r>
        <w:rPr>
          <w:rFonts w:hint="eastAsia" w:eastAsia="仿宋_GB2312"/>
          <w:color w:val="auto"/>
          <w:highlight w:val="none"/>
          <w:lang w:eastAsia="zh-CN"/>
        </w:rPr>
        <w:t>”</w:t>
      </w:r>
      <w:r>
        <w:rPr>
          <w:rFonts w:hint="eastAsia" w:eastAsia="仿宋_GB2312"/>
          <w:color w:val="auto"/>
          <w:highlight w:val="none"/>
        </w:rPr>
        <w:t>，积极推进国家全域旅游示范市、一流国际旅游城市建设。深入挖掘山、海、长城、乡村、民族文化等旅游资源内涵，重点培育长城文化、滨海度假、城乡休闲、生态康养、红酒主题、研学教育、商务会展等旅游业态。积极创建国家</w:t>
      </w:r>
      <w:r>
        <w:rPr>
          <w:rFonts w:eastAsia="仿宋_GB2312"/>
          <w:color w:val="auto"/>
          <w:highlight w:val="none"/>
        </w:rPr>
        <w:t>A</w:t>
      </w:r>
      <w:r>
        <w:rPr>
          <w:rFonts w:hint="eastAsia" w:eastAsia="仿宋_GB2312"/>
          <w:color w:val="auto"/>
          <w:highlight w:val="none"/>
        </w:rPr>
        <w:t>级景区、国家级旅游度假区，推进长城国家文化公园秦皇岛重点段建设，推动构建秦皇岛旅游核心吸引物，打造秦皇岛四季宜游、昼夜畅游的全季全时旅游体验。</w:t>
      </w:r>
      <w:r>
        <w:rPr>
          <w:rFonts w:hint="eastAsia" w:eastAsia="仿宋_GB2312"/>
          <w:color w:val="auto"/>
          <w:highlight w:val="none"/>
          <w:lang w:eastAsia="zh-CN"/>
        </w:rPr>
        <w:t>推动“旅游</w:t>
      </w:r>
      <w:r>
        <w:rPr>
          <w:rFonts w:hint="eastAsia" w:eastAsia="仿宋_GB2312"/>
          <w:color w:val="auto"/>
          <w:highlight w:val="none"/>
          <w:lang w:val="en-US" w:eastAsia="zh-CN"/>
        </w:rPr>
        <w:t>+多产业”深度融合发展，</w:t>
      </w:r>
      <w:r>
        <w:rPr>
          <w:rFonts w:hint="eastAsia" w:eastAsia="仿宋_GB2312"/>
          <w:color w:val="auto"/>
          <w:highlight w:val="none"/>
          <w:lang w:eastAsia="zh-CN"/>
        </w:rPr>
        <w:t>完善旅游产业链，推动农特产品、手工艺品、文创产品转化为旅游商品，发展高端旅游和户外运动装备，</w:t>
      </w:r>
      <w:r>
        <w:rPr>
          <w:rFonts w:hint="eastAsia" w:eastAsia="仿宋_GB2312"/>
          <w:color w:val="auto"/>
          <w:highlight w:val="none"/>
        </w:rPr>
        <w:t>开发健身休闲项目和体育赛事活动相结合的旅游产品和线路。着力提升旅游基础设施和旅游服务水平，加强旅游重点公路建设，</w:t>
      </w:r>
      <w:r>
        <w:rPr>
          <w:rFonts w:hint="eastAsia" w:eastAsia="仿宋_GB2312"/>
          <w:color w:val="auto"/>
          <w:highlight w:val="none"/>
          <w:lang w:eastAsia="zh-CN"/>
        </w:rPr>
        <w:t>推动旅游景点互联互通，提升完善住宿产品，加快推动高端酒店、主题酒店、度假酒店、乡村民宿等品牌化发展，</w:t>
      </w:r>
      <w:r>
        <w:rPr>
          <w:rFonts w:hint="eastAsia" w:eastAsia="仿宋_GB2312"/>
          <w:color w:val="auto"/>
          <w:highlight w:val="none"/>
        </w:rPr>
        <w:t>完善旅游交通指引标志系统。推进</w:t>
      </w:r>
      <w:r>
        <w:rPr>
          <w:rFonts w:hint="eastAsia" w:eastAsia="仿宋_GB2312"/>
          <w:color w:val="auto"/>
          <w:highlight w:val="none"/>
          <w:lang w:eastAsia="zh-CN"/>
        </w:rPr>
        <w:t>“</w:t>
      </w:r>
      <w:r>
        <w:rPr>
          <w:rFonts w:hint="eastAsia" w:eastAsia="仿宋_GB2312"/>
          <w:color w:val="auto"/>
          <w:highlight w:val="none"/>
        </w:rPr>
        <w:t>智慧景区</w:t>
      </w:r>
      <w:r>
        <w:rPr>
          <w:rFonts w:hint="eastAsia" w:eastAsia="仿宋_GB2312"/>
          <w:color w:val="auto"/>
          <w:highlight w:val="none"/>
          <w:lang w:eastAsia="zh-CN"/>
        </w:rPr>
        <w:t>”“</w:t>
      </w:r>
      <w:r>
        <w:rPr>
          <w:rFonts w:hint="eastAsia" w:eastAsia="仿宋_GB2312"/>
          <w:color w:val="auto"/>
          <w:highlight w:val="none"/>
        </w:rPr>
        <w:t>智慧酒店</w:t>
      </w:r>
      <w:r>
        <w:rPr>
          <w:rFonts w:hint="eastAsia" w:eastAsia="仿宋_GB2312"/>
          <w:color w:val="auto"/>
          <w:highlight w:val="none"/>
          <w:lang w:eastAsia="zh-CN"/>
        </w:rPr>
        <w:t>”“</w:t>
      </w:r>
      <w:r>
        <w:rPr>
          <w:rFonts w:hint="eastAsia" w:eastAsia="仿宋_GB2312"/>
          <w:color w:val="auto"/>
          <w:highlight w:val="none"/>
        </w:rPr>
        <w:t>智慧旅行社</w:t>
      </w:r>
      <w:r>
        <w:rPr>
          <w:rFonts w:hint="eastAsia" w:eastAsia="仿宋_GB2312"/>
          <w:color w:val="auto"/>
          <w:highlight w:val="none"/>
          <w:lang w:eastAsia="zh-CN"/>
        </w:rPr>
        <w:t>”</w:t>
      </w:r>
      <w:r>
        <w:rPr>
          <w:rFonts w:hint="eastAsia" w:eastAsia="仿宋_GB2312"/>
          <w:color w:val="auto"/>
          <w:highlight w:val="none"/>
        </w:rPr>
        <w:t>等工程，完善咨询、集散、购物等功能，建设国内知名的山海康养休闲度假城市。</w:t>
      </w:r>
    </w:p>
    <w:p w14:paraId="4F7471D9">
      <w:pPr>
        <w:spacing w:line="560" w:lineRule="exact"/>
        <w:ind w:firstLine="640" w:firstLineChars="200"/>
        <w:outlineLvl w:val="2"/>
        <w:rPr>
          <w:b/>
          <w:bCs/>
          <w:color w:val="auto"/>
          <w:highlight w:val="none"/>
        </w:rPr>
      </w:pPr>
      <w:bookmarkStart w:id="188" w:name="_Toc3340"/>
      <w:bookmarkStart w:id="189" w:name="_Toc6520"/>
      <w:bookmarkStart w:id="190" w:name="_Toc11299"/>
      <w:r>
        <w:rPr>
          <w:rFonts w:hint="eastAsia"/>
          <w:b w:val="0"/>
          <w:bCs w:val="0"/>
          <w:color w:val="auto"/>
          <w:highlight w:val="none"/>
        </w:rPr>
        <w:t>（三）临港物流</w:t>
      </w:r>
      <w:bookmarkEnd w:id="188"/>
      <w:bookmarkEnd w:id="189"/>
      <w:bookmarkEnd w:id="190"/>
      <w:r>
        <w:rPr>
          <w:b/>
          <w:bCs/>
          <w:color w:val="auto"/>
          <w:highlight w:val="none"/>
        </w:rPr>
        <w:tab/>
      </w:r>
    </w:p>
    <w:p w14:paraId="03FC0F13">
      <w:pPr>
        <w:spacing w:line="560" w:lineRule="exact"/>
        <w:ind w:firstLine="640" w:firstLineChars="200"/>
        <w:rPr>
          <w:rFonts w:hint="eastAsia" w:eastAsia="仿宋_GB2312"/>
          <w:color w:val="auto"/>
          <w:highlight w:val="none"/>
        </w:rPr>
      </w:pPr>
      <w:r>
        <w:rPr>
          <w:rFonts w:hint="eastAsia" w:eastAsia="仿宋_GB2312"/>
          <w:color w:val="auto"/>
          <w:highlight w:val="none"/>
        </w:rPr>
        <w:t>围绕秦皇岛港口型国家物流枢纽承载城市建设，</w:t>
      </w:r>
      <w:r>
        <w:rPr>
          <w:rFonts w:hint="eastAsia" w:ascii="Times New Roman" w:hAnsi="Times New Roman" w:eastAsia="仿宋_GB2312" w:cs="Times New Roman"/>
          <w:color w:val="auto"/>
          <w:highlight w:val="none"/>
        </w:rPr>
        <w:t>以秦皇岛港转型升级为契机，全力争取进口冰鲜水产品、肉类指定口岸资质，培育建设以冷链物流为主的粮食、水果、肉类集散基地，建设特色物流口岸。</w:t>
      </w:r>
      <w:r>
        <w:rPr>
          <w:rFonts w:hint="eastAsia" w:ascii="Times New Roman" w:hAnsi="Times New Roman" w:eastAsia="仿宋_GB2312" w:cs="Times New Roman"/>
          <w:color w:val="auto"/>
          <w:highlight w:val="none"/>
          <w:lang w:val="zh-CN"/>
        </w:rPr>
        <w:t>重点发展农产品物流、制造业物流、资源型产品物流、城乡物流配送、电子商务物流、再生资源回收物流等，推动物流企业规模化、集约化发展，提高物流行业标准化、信息化、自动化、智能化管理水平。谋划建设</w:t>
      </w:r>
      <w:r>
        <w:rPr>
          <w:rFonts w:hint="eastAsia" w:ascii="Times New Roman" w:hAnsi="Times New Roman" w:eastAsia="仿宋_GB2312" w:cs="Times New Roman"/>
          <w:color w:val="auto"/>
          <w:highlight w:val="none"/>
        </w:rPr>
        <w:t>临港国际农产品冷链物流基地建设。拓展商贸、信息、</w:t>
      </w:r>
      <w:r>
        <w:rPr>
          <w:rFonts w:hint="eastAsia" w:eastAsia="仿宋_GB2312"/>
          <w:color w:val="auto"/>
          <w:highlight w:val="none"/>
        </w:rPr>
        <w:t>金融等港口增值服务功能，加快建设区域性港口物流公共信息平台，推动港口信息数据联网和标准化建设。围绕核心资源，贯通南北商贸物流，聚集国际产业资源，打造智慧物联体系，</w:t>
      </w:r>
      <w:r>
        <w:rPr>
          <w:rFonts w:hint="eastAsia" w:eastAsia="仿宋_GB2312"/>
          <w:color w:val="auto"/>
          <w:highlight w:val="none"/>
          <w:lang w:eastAsia="zh-CN"/>
        </w:rPr>
        <w:t>丰富</w:t>
      </w:r>
      <w:r>
        <w:rPr>
          <w:rFonts w:hint="eastAsia" w:eastAsia="仿宋_GB2312"/>
          <w:color w:val="auto"/>
          <w:highlight w:val="none"/>
        </w:rPr>
        <w:t>产业集群</w:t>
      </w:r>
      <w:r>
        <w:rPr>
          <w:rFonts w:hint="eastAsia" w:eastAsia="仿宋_GB2312"/>
          <w:color w:val="auto"/>
          <w:highlight w:val="none"/>
          <w:lang w:eastAsia="zh-CN"/>
        </w:rPr>
        <w:t>内涵</w:t>
      </w:r>
      <w:r>
        <w:rPr>
          <w:rFonts w:hint="eastAsia" w:eastAsia="仿宋_GB2312"/>
          <w:color w:val="auto"/>
          <w:highlight w:val="none"/>
        </w:rPr>
        <w:t>。</w:t>
      </w:r>
    </w:p>
    <w:p w14:paraId="13D8FF21">
      <w:pPr>
        <w:spacing w:line="560" w:lineRule="exact"/>
        <w:ind w:firstLine="640" w:firstLineChars="200"/>
        <w:outlineLvl w:val="2"/>
        <w:rPr>
          <w:rFonts w:hint="eastAsia" w:ascii="楷体" w:hAnsi="楷体" w:eastAsia="楷体" w:cs="楷体"/>
          <w:color w:val="auto"/>
          <w:highlight w:val="none"/>
        </w:rPr>
      </w:pPr>
      <w:bookmarkStart w:id="191" w:name="_Toc17070"/>
      <w:bookmarkStart w:id="192" w:name="_Toc19592"/>
      <w:bookmarkStart w:id="193" w:name="_Toc14476"/>
      <w:bookmarkStart w:id="194" w:name="_Toc6978"/>
      <w:r>
        <w:rPr>
          <w:rFonts w:hint="eastAsia" w:ascii="楷体" w:hAnsi="楷体" w:eastAsia="楷体" w:cs="楷体"/>
          <w:color w:val="auto"/>
          <w:highlight w:val="none"/>
          <w:lang w:eastAsia="zh-CN"/>
        </w:rPr>
        <w:t>（四）</w:t>
      </w:r>
      <w:r>
        <w:rPr>
          <w:rFonts w:hint="eastAsia" w:ascii="楷体" w:hAnsi="楷体" w:eastAsia="楷体" w:cs="楷体"/>
          <w:color w:val="auto"/>
          <w:highlight w:val="none"/>
        </w:rPr>
        <w:t>高</w:t>
      </w:r>
      <w:r>
        <w:rPr>
          <w:rFonts w:hint="eastAsia" w:ascii="楷体" w:hAnsi="楷体" w:eastAsia="楷体" w:cs="楷体"/>
          <w:color w:val="auto"/>
          <w:highlight w:val="none"/>
          <w:lang w:eastAsia="zh-CN"/>
        </w:rPr>
        <w:t>潜</w:t>
      </w:r>
      <w:r>
        <w:rPr>
          <w:rFonts w:hint="eastAsia" w:ascii="楷体" w:hAnsi="楷体" w:eastAsia="楷体" w:cs="楷体"/>
          <w:color w:val="auto"/>
          <w:highlight w:val="none"/>
        </w:rPr>
        <w:t>未来产业</w:t>
      </w:r>
      <w:bookmarkEnd w:id="191"/>
      <w:bookmarkEnd w:id="192"/>
      <w:bookmarkEnd w:id="193"/>
      <w:r>
        <w:rPr>
          <w:rFonts w:hint="eastAsia" w:ascii="楷体" w:hAnsi="楷体" w:eastAsia="楷体" w:cs="楷体"/>
          <w:color w:val="auto"/>
          <w:highlight w:val="none"/>
        </w:rPr>
        <w:tab/>
      </w:r>
    </w:p>
    <w:p w14:paraId="45B655BD">
      <w:pPr>
        <w:spacing w:line="560" w:lineRule="exact"/>
        <w:ind w:firstLine="640" w:firstLineChars="200"/>
        <w:outlineLvl w:val="9"/>
        <w:rPr>
          <w:rFonts w:eastAsia="仿宋_GB2312"/>
          <w:color w:val="auto"/>
          <w:highlight w:val="none"/>
        </w:rPr>
      </w:pPr>
      <w:bookmarkStart w:id="195" w:name="_Toc5143"/>
      <w:bookmarkStart w:id="196" w:name="_Toc27872"/>
      <w:r>
        <w:rPr>
          <w:rFonts w:hint="eastAsia" w:ascii="仿宋" w:hAnsi="仿宋" w:eastAsia="仿宋" w:cs="仿宋"/>
          <w:b w:val="0"/>
          <w:bCs w:val="0"/>
          <w:color w:val="auto"/>
          <w:highlight w:val="none"/>
        </w:rPr>
        <w:t>高端软件产业</w:t>
      </w:r>
      <w:bookmarkEnd w:id="195"/>
      <w:bookmarkEnd w:id="196"/>
      <w:r>
        <w:rPr>
          <w:rFonts w:hint="eastAsia" w:ascii="仿宋" w:hAnsi="仿宋" w:eastAsia="仿宋" w:cs="仿宋"/>
          <w:b w:val="0"/>
          <w:bCs w:val="0"/>
          <w:color w:val="auto"/>
          <w:highlight w:val="none"/>
          <w:lang w:eastAsia="zh-CN"/>
        </w:rPr>
        <w:t>。</w:t>
      </w:r>
      <w:r>
        <w:rPr>
          <w:rFonts w:hint="eastAsia" w:eastAsia="仿宋_GB2312"/>
          <w:color w:val="auto"/>
          <w:highlight w:val="none"/>
        </w:rPr>
        <w:t>促进云计算、大数据、物联网、人工智能、区块链等加速发展，积极培育和引进软件企业、技术和人才力量，加快关键领域软件开发应用，打造软件名城。依托秦皇岛经济技术开发区，加快引进华为、阿里、中软国际、软通动力、文思海辉等大型软件外包和交付企业，打通软件研发和交付产业链，打造</w:t>
      </w:r>
      <w:r>
        <w:rPr>
          <w:rFonts w:hint="eastAsia" w:eastAsia="仿宋_GB2312"/>
          <w:color w:val="auto"/>
          <w:highlight w:val="none"/>
          <w:lang w:eastAsia="zh-CN"/>
        </w:rPr>
        <w:t>“</w:t>
      </w:r>
      <w:r>
        <w:rPr>
          <w:rFonts w:hint="eastAsia" w:eastAsia="仿宋_GB2312"/>
          <w:color w:val="auto"/>
          <w:highlight w:val="none"/>
        </w:rPr>
        <w:t>软件产业交付中心</w:t>
      </w:r>
      <w:r>
        <w:rPr>
          <w:rFonts w:hint="eastAsia" w:eastAsia="仿宋_GB2312"/>
          <w:color w:val="auto"/>
          <w:highlight w:val="none"/>
          <w:lang w:eastAsia="zh-CN"/>
        </w:rPr>
        <w:t>”</w:t>
      </w:r>
      <w:r>
        <w:rPr>
          <w:rFonts w:hint="eastAsia" w:eastAsia="仿宋_GB2312"/>
          <w:color w:val="auto"/>
          <w:highlight w:val="none"/>
        </w:rPr>
        <w:t>。依托信息技术产学研新工科联盟和北戴河教育培训基地，加强与北航、北理工、北交大等国内一流信息技术领域高校合作，充分发挥燕山大学、东北大学（秦皇岛）、河北科技师范学院等秦皇岛高校的作用，积极引进国内外软件龙头企业和知名培训机构，开展面向实际软件工程项目的工程培训；鼓励和扶持河北东软、燕软、晟融数据、海湾、晨砻科技等本地重点软件企业，发挥外部资源带动，内部核心驱动双引擎作用，形成秦皇岛软件产业特色，逐步打造</w:t>
      </w:r>
      <w:r>
        <w:rPr>
          <w:rFonts w:hint="eastAsia" w:eastAsia="仿宋_GB2312"/>
          <w:color w:val="auto"/>
          <w:highlight w:val="none"/>
          <w:lang w:eastAsia="zh-CN"/>
        </w:rPr>
        <w:t>“</w:t>
      </w:r>
      <w:r>
        <w:rPr>
          <w:rFonts w:hint="eastAsia" w:eastAsia="仿宋_GB2312"/>
          <w:color w:val="auto"/>
          <w:highlight w:val="none"/>
        </w:rPr>
        <w:t>全国软件产业化人才培养基地</w:t>
      </w:r>
      <w:r>
        <w:rPr>
          <w:rFonts w:hint="eastAsia" w:eastAsia="仿宋_GB2312"/>
          <w:color w:val="auto"/>
          <w:highlight w:val="none"/>
          <w:lang w:eastAsia="zh-CN"/>
        </w:rPr>
        <w:t>”</w:t>
      </w:r>
      <w:r>
        <w:rPr>
          <w:rFonts w:hint="eastAsia" w:eastAsia="仿宋_GB2312"/>
          <w:color w:val="auto"/>
          <w:highlight w:val="none"/>
        </w:rPr>
        <w:t>。在传统孵化器的基础上，引进华为软件开发云、腾讯敏捷开发平台、百度人工智能开发平台等软件研发基础技术条件平台和</w:t>
      </w:r>
      <w:r>
        <w:rPr>
          <w:rFonts w:hint="eastAsia" w:eastAsia="仿宋_GB2312"/>
          <w:color w:val="auto"/>
          <w:highlight w:val="none"/>
          <w:lang w:eastAsia="zh-CN"/>
        </w:rPr>
        <w:t>“</w:t>
      </w:r>
      <w:r>
        <w:rPr>
          <w:rFonts w:hint="eastAsia" w:eastAsia="仿宋_GB2312"/>
          <w:color w:val="auto"/>
          <w:highlight w:val="none"/>
        </w:rPr>
        <w:t>解放号</w:t>
      </w:r>
      <w:r>
        <w:rPr>
          <w:rFonts w:hint="eastAsia" w:eastAsia="仿宋_GB2312"/>
          <w:color w:val="auto"/>
          <w:highlight w:val="none"/>
          <w:lang w:eastAsia="zh-CN"/>
        </w:rPr>
        <w:t>”“</w:t>
      </w:r>
      <w:r>
        <w:rPr>
          <w:rFonts w:hint="eastAsia" w:eastAsia="仿宋_GB2312"/>
          <w:color w:val="auto"/>
          <w:highlight w:val="none"/>
        </w:rPr>
        <w:t>猪八戒</w:t>
      </w:r>
      <w:r>
        <w:rPr>
          <w:rFonts w:hint="eastAsia" w:eastAsia="仿宋_GB2312"/>
          <w:color w:val="auto"/>
          <w:highlight w:val="none"/>
          <w:lang w:eastAsia="zh-CN"/>
        </w:rPr>
        <w:t>”</w:t>
      </w:r>
      <w:r>
        <w:rPr>
          <w:rFonts w:hint="eastAsia" w:eastAsia="仿宋_GB2312"/>
          <w:color w:val="auto"/>
          <w:highlight w:val="none"/>
        </w:rPr>
        <w:t>等众包服务平台，建设高水平示范性众创空间，逐步打造</w:t>
      </w:r>
      <w:r>
        <w:rPr>
          <w:rFonts w:hint="eastAsia" w:eastAsia="仿宋_GB2312"/>
          <w:color w:val="auto"/>
          <w:highlight w:val="none"/>
          <w:lang w:eastAsia="zh-CN"/>
        </w:rPr>
        <w:t>“</w:t>
      </w:r>
      <w:r>
        <w:rPr>
          <w:rFonts w:hint="eastAsia" w:eastAsia="仿宋_GB2312"/>
          <w:color w:val="auto"/>
          <w:highlight w:val="none"/>
        </w:rPr>
        <w:t>全国软件产业创新创业基地</w:t>
      </w:r>
      <w:r>
        <w:rPr>
          <w:rFonts w:hint="eastAsia" w:eastAsia="仿宋_GB2312"/>
          <w:color w:val="auto"/>
          <w:highlight w:val="none"/>
          <w:lang w:eastAsia="zh-CN"/>
        </w:rPr>
        <w:t>”</w:t>
      </w:r>
      <w:r>
        <w:rPr>
          <w:rFonts w:hint="eastAsia" w:eastAsia="仿宋_GB2312"/>
          <w:color w:val="auto"/>
          <w:highlight w:val="none"/>
        </w:rPr>
        <w:t>。提升秦皇岛在中国软件创新发展大会的影响力，集中展示以软件为核心的智能化、数字化发展成果，为促进软件产业发展、传统制造企业转型升级搭建合作平台，建成有秦皇岛特色、在全国有影响力的软件产业基地。</w:t>
      </w:r>
    </w:p>
    <w:bookmarkEnd w:id="194"/>
    <w:p w14:paraId="4A4E48A2">
      <w:pPr>
        <w:spacing w:line="560" w:lineRule="exact"/>
        <w:ind w:firstLine="640" w:firstLineChars="200"/>
        <w:outlineLvl w:val="9"/>
        <w:rPr>
          <w:rFonts w:hint="eastAsia" w:eastAsia="仿宋_GB2312"/>
          <w:color w:val="auto"/>
          <w:highlight w:val="none"/>
        </w:rPr>
      </w:pPr>
      <w:bookmarkStart w:id="197" w:name="_Toc20585"/>
      <w:bookmarkStart w:id="198" w:name="_Toc13416"/>
      <w:r>
        <w:rPr>
          <w:rFonts w:hint="eastAsia" w:ascii="仿宋" w:hAnsi="仿宋" w:eastAsia="仿宋" w:cs="仿宋"/>
          <w:b w:val="0"/>
          <w:bCs w:val="0"/>
          <w:color w:val="auto"/>
          <w:highlight w:val="none"/>
        </w:rPr>
        <w:t>创意设计</w:t>
      </w:r>
      <w:bookmarkEnd w:id="197"/>
      <w:bookmarkEnd w:id="198"/>
      <w:r>
        <w:rPr>
          <w:rFonts w:hint="eastAsia" w:ascii="仿宋" w:hAnsi="仿宋" w:eastAsia="仿宋" w:cs="仿宋"/>
          <w:b w:val="0"/>
          <w:bCs w:val="0"/>
          <w:color w:val="auto"/>
          <w:highlight w:val="none"/>
          <w:lang w:eastAsia="zh-CN"/>
        </w:rPr>
        <w:t>。</w:t>
      </w:r>
      <w:r>
        <w:rPr>
          <w:rFonts w:hint="eastAsia" w:eastAsia="仿宋_GB2312"/>
          <w:color w:val="auto"/>
          <w:highlight w:val="none"/>
        </w:rPr>
        <w:t>推动创意设计产业高质量发展，拓展延伸创意设计服务领域。加快中瑞设计港、中法国际文创园等项目建设，瞄准国际一流标准开展项目招商，推动工业设计企业在秦集聚，支持创意设计企业向专、精、特、新方向发展，打造国际一流的工业设计园和文创园区。以</w:t>
      </w:r>
      <w:r>
        <w:rPr>
          <w:rFonts w:hint="eastAsia" w:eastAsia="仿宋_GB2312"/>
          <w:color w:val="auto"/>
          <w:highlight w:val="none"/>
          <w:lang w:eastAsia="zh-CN"/>
        </w:rPr>
        <w:t>“</w:t>
      </w:r>
      <w:r>
        <w:rPr>
          <w:rFonts w:hint="eastAsia" w:eastAsia="仿宋_GB2312"/>
          <w:color w:val="auto"/>
          <w:highlight w:val="none"/>
        </w:rPr>
        <w:t>设计</w:t>
      </w:r>
      <w:r>
        <w:rPr>
          <w:rFonts w:eastAsia="仿宋_GB2312"/>
          <w:color w:val="auto"/>
          <w:highlight w:val="none"/>
        </w:rPr>
        <w:t>+</w:t>
      </w:r>
      <w:r>
        <w:rPr>
          <w:rFonts w:hint="eastAsia" w:eastAsia="仿宋_GB2312"/>
          <w:color w:val="auto"/>
          <w:highlight w:val="none"/>
          <w:lang w:eastAsia="zh-CN"/>
        </w:rPr>
        <w:t>”</w:t>
      </w:r>
      <w:r>
        <w:rPr>
          <w:rFonts w:hint="eastAsia" w:eastAsia="仿宋_GB2312"/>
          <w:color w:val="auto"/>
          <w:highlight w:val="none"/>
        </w:rPr>
        <w:t>为引领，大力发展超高清、</w:t>
      </w:r>
      <w:r>
        <w:rPr>
          <w:rFonts w:eastAsia="仿宋_GB2312"/>
          <w:color w:val="auto"/>
          <w:highlight w:val="none"/>
        </w:rPr>
        <w:t>VR/AR</w:t>
      </w:r>
      <w:r>
        <w:rPr>
          <w:rFonts w:hint="eastAsia" w:eastAsia="仿宋_GB2312"/>
          <w:color w:val="auto"/>
          <w:highlight w:val="none"/>
        </w:rPr>
        <w:t>、数字内容生产和创新设计软件、数字文化内容创作、智能内容生产平台、文化资源转换、人居环境创新设计等产业。开展各类产业创意设计活动，提升创意设计对品牌战略和质量提升的巨大赋值能力，提高产品附加值和品牌知名度，不断提升文化创意和设计服务的整体水平和核心竞争力，以创意设计带动产业升级，推进秦皇岛制造向秦皇岛创造转变。</w:t>
      </w:r>
    </w:p>
    <w:tbl>
      <w:tblPr>
        <w:tblStyle w:val="17"/>
        <w:tblpPr w:leftFromText="180" w:rightFromText="180" w:vertAnchor="text" w:horzAnchor="page" w:tblpX="1760" w:tblpY="50"/>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7A58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0" w:type="dxa"/>
          </w:tcPr>
          <w:p w14:paraId="4EA50BEC">
            <w:pPr>
              <w:spacing w:line="360" w:lineRule="exact"/>
              <w:jc w:val="center"/>
              <w:rPr>
                <w:color w:val="auto"/>
                <w:sz w:val="24"/>
                <w:szCs w:val="24"/>
                <w:highlight w:val="none"/>
              </w:rPr>
            </w:pPr>
            <w:r>
              <w:rPr>
                <w:rFonts w:hint="eastAsia" w:eastAsia="黑体"/>
                <w:color w:val="auto"/>
                <w:sz w:val="24"/>
                <w:szCs w:val="24"/>
                <w:highlight w:val="none"/>
              </w:rPr>
              <w:t>专栏</w:t>
            </w:r>
            <w:r>
              <w:rPr>
                <w:rFonts w:eastAsia="黑体"/>
                <w:color w:val="auto"/>
                <w:sz w:val="24"/>
                <w:szCs w:val="24"/>
                <w:highlight w:val="none"/>
              </w:rPr>
              <w:t>2</w:t>
            </w:r>
            <w:r>
              <w:rPr>
                <w:rFonts w:hint="eastAsia" w:eastAsia="黑体"/>
                <w:color w:val="auto"/>
                <w:sz w:val="24"/>
                <w:szCs w:val="24"/>
                <w:highlight w:val="none"/>
              </w:rPr>
              <w:t>：</w:t>
            </w:r>
            <w:r>
              <w:rPr>
                <w:rFonts w:hint="eastAsia" w:eastAsia="黑体"/>
                <w:color w:val="auto"/>
                <w:sz w:val="24"/>
                <w:szCs w:val="24"/>
                <w:highlight w:val="none"/>
                <w:lang w:eastAsia="zh-CN"/>
              </w:rPr>
              <w:t>城市特色产</w:t>
            </w:r>
            <w:r>
              <w:rPr>
                <w:rFonts w:hint="eastAsia" w:eastAsia="黑体"/>
                <w:color w:val="auto"/>
                <w:sz w:val="24"/>
                <w:szCs w:val="24"/>
                <w:highlight w:val="none"/>
              </w:rPr>
              <w:t>业</w:t>
            </w:r>
          </w:p>
        </w:tc>
      </w:tr>
      <w:tr w14:paraId="38F0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000" w:type="dxa"/>
          </w:tcPr>
          <w:p w14:paraId="158EAB61">
            <w:pPr>
              <w:spacing w:line="320" w:lineRule="exact"/>
              <w:ind w:firstLine="422" w:firstLineChars="200"/>
              <w:rPr>
                <w:rFonts w:eastAsia="宋体"/>
                <w:bCs/>
                <w:color w:val="auto"/>
                <w:sz w:val="21"/>
                <w:szCs w:val="21"/>
                <w:highlight w:val="none"/>
              </w:rPr>
            </w:pPr>
            <w:bookmarkStart w:id="199" w:name="_Toc13844"/>
            <w:bookmarkStart w:id="200" w:name="_Toc25933"/>
            <w:r>
              <w:rPr>
                <w:rFonts w:eastAsia="宋体"/>
                <w:b/>
                <w:color w:val="auto"/>
                <w:sz w:val="21"/>
                <w:szCs w:val="21"/>
                <w:highlight w:val="none"/>
              </w:rPr>
              <w:t>1.</w:t>
            </w:r>
            <w:r>
              <w:rPr>
                <w:rFonts w:hint="eastAsia" w:eastAsia="宋体"/>
                <w:b/>
                <w:color w:val="auto"/>
                <w:sz w:val="21"/>
                <w:szCs w:val="21"/>
                <w:highlight w:val="none"/>
              </w:rPr>
              <w:t>生命健康。</w:t>
            </w:r>
            <w:bookmarkEnd w:id="199"/>
            <w:bookmarkEnd w:id="200"/>
            <w:r>
              <w:rPr>
                <w:rFonts w:hint="eastAsia" w:eastAsia="宋体"/>
                <w:bCs/>
                <w:color w:val="auto"/>
                <w:sz w:val="21"/>
                <w:szCs w:val="21"/>
                <w:highlight w:val="none"/>
              </w:rPr>
              <w:t>中秦兴龙康复辅具产业园、中关村生命园昌黎科创基地、北京天肽小分子活性肽生产基地、石药集团生物研发基地、美亚干细胞研究与应用、上海原能干细胞医学中心、燕达国际健康城、通化力神人参系列产品加工基地、华恒生物三期、鼎成肽源免疫细胞、泰治医疗口罩及防护服生产加工基地、鹏瑞利国际健康商旅城、华是国际肿瘤医学中心、国泰医疗生产基地、皓海生物产能扩建、爱晖医药口服溶液剂和滴剂生产制造、卢龙县口服固体制剂</w:t>
            </w:r>
            <w:r>
              <w:rPr>
                <w:rFonts w:eastAsia="宋体"/>
                <w:bCs/>
                <w:color w:val="auto"/>
                <w:sz w:val="21"/>
                <w:szCs w:val="21"/>
                <w:highlight w:val="none"/>
              </w:rPr>
              <w:t>GMP</w:t>
            </w:r>
            <w:r>
              <w:rPr>
                <w:rFonts w:hint="eastAsia" w:eastAsia="宋体"/>
                <w:bCs/>
                <w:color w:val="auto"/>
                <w:sz w:val="21"/>
                <w:szCs w:val="21"/>
                <w:highlight w:val="none"/>
              </w:rPr>
              <w:t>二期、泰和医养结合、都岭药业现代化中药示范基地、北京湃生去端肽胶原蛋白生物材料、益尔生物产品研发。</w:t>
            </w:r>
          </w:p>
          <w:p w14:paraId="4B81F49A">
            <w:pPr>
              <w:spacing w:line="320" w:lineRule="exact"/>
              <w:rPr>
                <w:rFonts w:eastAsia="宋体"/>
                <w:bCs/>
                <w:color w:val="auto"/>
                <w:sz w:val="21"/>
                <w:szCs w:val="21"/>
                <w:highlight w:val="none"/>
              </w:rPr>
            </w:pPr>
            <w:r>
              <w:rPr>
                <w:rFonts w:eastAsia="宋体"/>
                <w:b/>
                <w:color w:val="auto"/>
                <w:sz w:val="21"/>
                <w:szCs w:val="21"/>
                <w:highlight w:val="none"/>
              </w:rPr>
              <w:t xml:space="preserve">    2.</w:t>
            </w:r>
            <w:r>
              <w:rPr>
                <w:rFonts w:hint="eastAsia" w:eastAsia="宋体"/>
                <w:b/>
                <w:color w:val="auto"/>
                <w:sz w:val="21"/>
                <w:szCs w:val="21"/>
                <w:highlight w:val="none"/>
              </w:rPr>
              <w:t>文体旅游。</w:t>
            </w:r>
            <w:r>
              <w:rPr>
                <w:rFonts w:hint="eastAsia" w:eastAsia="宋体"/>
                <w:color w:val="auto"/>
                <w:sz w:val="21"/>
                <w:szCs w:val="21"/>
                <w:highlight w:val="none"/>
              </w:rPr>
              <w:t>长城国家文化公园秦皇岛产业园、</w:t>
            </w:r>
            <w:r>
              <w:rPr>
                <w:rFonts w:hint="eastAsia" w:eastAsia="宋体"/>
                <w:bCs/>
                <w:color w:val="auto"/>
                <w:sz w:val="21"/>
                <w:szCs w:val="21"/>
                <w:highlight w:val="none"/>
              </w:rPr>
              <w:t>特色小镇推进工程、北戴河艺术村落整体开发、碧螺塔海上酒吧公园、北戴河区文旅融合中心、北戴河</w:t>
            </w:r>
            <w:r>
              <w:rPr>
                <w:rFonts w:eastAsia="宋体"/>
                <w:bCs/>
                <w:color w:val="auto"/>
                <w:sz w:val="21"/>
                <w:szCs w:val="21"/>
                <w:highlight w:val="none"/>
              </w:rPr>
              <w:t>5A</w:t>
            </w:r>
            <w:r>
              <w:rPr>
                <w:rFonts w:hint="eastAsia" w:eastAsia="宋体"/>
                <w:bCs/>
                <w:color w:val="auto"/>
                <w:sz w:val="21"/>
                <w:szCs w:val="21"/>
                <w:highlight w:val="none"/>
              </w:rPr>
              <w:t>景区、冷口温泉文化旅游度假区、老君顶生态旅游开发、茂业金梦海湾酒店、奥特莱斯城市综合体、河北英皇集团文旅产业营地、山海关长城风景道、海港区求仙入海处改造提升、青龙都山满族文化旅游产业示范区、背牛顶文化旅游度假区、蓝调庄园康体度假休闲旅游项目、</w:t>
            </w:r>
            <w:r>
              <w:rPr>
                <w:rFonts w:hint="eastAsia" w:eastAsia="宋体"/>
                <w:bCs/>
                <w:color w:val="auto"/>
                <w:sz w:val="21"/>
                <w:szCs w:val="21"/>
                <w:highlight w:val="none"/>
                <w:lang w:eastAsia="zh-CN"/>
              </w:rPr>
              <w:t>青龙满族自治县</w:t>
            </w:r>
            <w:r>
              <w:rPr>
                <w:rFonts w:hint="eastAsia" w:eastAsia="宋体"/>
                <w:bCs/>
                <w:color w:val="auto"/>
                <w:sz w:val="21"/>
                <w:szCs w:val="21"/>
                <w:highlight w:val="none"/>
              </w:rPr>
              <w:t>五指山村人造溶洞旅游综合开发、</w:t>
            </w:r>
            <w:r>
              <w:rPr>
                <w:rFonts w:hint="eastAsia" w:eastAsia="宋体"/>
                <w:bCs/>
                <w:color w:val="auto"/>
                <w:sz w:val="21"/>
                <w:szCs w:val="21"/>
                <w:highlight w:val="none"/>
                <w:lang w:eastAsia="zh-CN"/>
              </w:rPr>
              <w:t>青龙满族自治县</w:t>
            </w:r>
            <w:r>
              <w:rPr>
                <w:rFonts w:hint="eastAsia" w:eastAsia="宋体"/>
                <w:bCs/>
                <w:color w:val="auto"/>
                <w:sz w:val="21"/>
                <w:szCs w:val="21"/>
                <w:highlight w:val="none"/>
              </w:rPr>
              <w:t>城市综合体、华生园金色葡萄梦幻王国旅游区、秦皇岛欢乐冰雪水世界。</w:t>
            </w:r>
          </w:p>
          <w:p w14:paraId="3CC99B3A">
            <w:pPr>
              <w:spacing w:line="320" w:lineRule="exact"/>
              <w:ind w:firstLine="422" w:firstLineChars="200"/>
              <w:rPr>
                <w:rFonts w:hint="eastAsia" w:ascii="Times New Roman" w:hAnsi="Times New Roman" w:eastAsia="宋体"/>
                <w:bCs/>
                <w:color w:val="auto"/>
                <w:sz w:val="21"/>
                <w:highlight w:val="none"/>
              </w:rPr>
            </w:pPr>
            <w:r>
              <w:rPr>
                <w:rFonts w:ascii="Times New Roman" w:hAnsi="Times New Roman" w:eastAsia="宋体"/>
                <w:b/>
                <w:color w:val="auto"/>
                <w:sz w:val="21"/>
                <w:highlight w:val="none"/>
              </w:rPr>
              <w:t>3.</w:t>
            </w:r>
            <w:r>
              <w:rPr>
                <w:rFonts w:hint="eastAsia" w:ascii="Times New Roman" w:hAnsi="Times New Roman" w:eastAsia="宋体"/>
                <w:b/>
                <w:color w:val="auto"/>
                <w:sz w:val="21"/>
                <w:highlight w:val="none"/>
              </w:rPr>
              <w:t>临港物流。</w:t>
            </w:r>
            <w:r>
              <w:rPr>
                <w:rFonts w:hint="eastAsia" w:ascii="Times New Roman" w:hAnsi="Times New Roman" w:eastAsia="宋体"/>
                <w:bCs/>
                <w:color w:val="auto"/>
                <w:sz w:val="21"/>
                <w:highlight w:val="none"/>
              </w:rPr>
              <w:t>临港国际农产品冷链物流基地、进出口商品交易中心、北戴河互联网</w:t>
            </w:r>
            <w:r>
              <w:rPr>
                <w:rFonts w:ascii="Times New Roman" w:hAnsi="Times New Roman" w:eastAsia="宋体"/>
                <w:bCs/>
                <w:color w:val="auto"/>
                <w:sz w:val="21"/>
                <w:highlight w:val="none"/>
              </w:rPr>
              <w:t>+</w:t>
            </w:r>
            <w:r>
              <w:rPr>
                <w:rFonts w:hint="eastAsia" w:ascii="Times New Roman" w:hAnsi="Times New Roman" w:eastAsia="宋体"/>
                <w:bCs/>
                <w:color w:val="auto"/>
                <w:sz w:val="21"/>
                <w:highlight w:val="none"/>
              </w:rPr>
              <w:t>现代物流园、嘉诚食品农产品冷链物流基地加工配送中心、海晟快递产业园、金盾保安中信金融外包服务产业园、卢龙县延秋现代仓储物流中心、久昌物流中转基地、国药物流中心、中昊智慧物流园、天晖塑料大宗商品物流产业园、运通物流快递产业园、秦皇岛国际裘皮城综合体、吉晟仓储物流、圣洋科技物流中心、昌黎富民农产品冷链物流仓储配送中心。</w:t>
            </w:r>
          </w:p>
          <w:p w14:paraId="33D50B33">
            <w:pPr>
              <w:spacing w:line="320" w:lineRule="exact"/>
              <w:ind w:firstLine="422" w:firstLineChars="200"/>
              <w:rPr>
                <w:rFonts w:ascii="Times New Roman" w:hAnsi="Times New Roman"/>
                <w:color w:val="auto"/>
                <w:highlight w:val="none"/>
              </w:rPr>
            </w:pPr>
            <w:r>
              <w:rPr>
                <w:rFonts w:hint="eastAsia" w:eastAsia="宋体"/>
                <w:b/>
                <w:color w:val="auto"/>
                <w:sz w:val="21"/>
                <w:szCs w:val="21"/>
                <w:highlight w:val="none"/>
                <w:lang w:val="en-US" w:eastAsia="zh-CN"/>
              </w:rPr>
              <w:t>4</w:t>
            </w:r>
            <w:r>
              <w:rPr>
                <w:rFonts w:eastAsia="宋体"/>
                <w:b/>
                <w:color w:val="auto"/>
                <w:sz w:val="21"/>
                <w:szCs w:val="21"/>
                <w:highlight w:val="none"/>
              </w:rPr>
              <w:t>.</w:t>
            </w:r>
            <w:r>
              <w:rPr>
                <w:rFonts w:hint="eastAsia" w:eastAsia="宋体"/>
                <w:b/>
                <w:color w:val="auto"/>
                <w:sz w:val="21"/>
                <w:szCs w:val="21"/>
                <w:highlight w:val="none"/>
              </w:rPr>
              <w:t>高</w:t>
            </w:r>
            <w:r>
              <w:rPr>
                <w:rFonts w:hint="eastAsia" w:eastAsia="宋体"/>
                <w:b/>
                <w:color w:val="auto"/>
                <w:sz w:val="21"/>
                <w:szCs w:val="21"/>
                <w:highlight w:val="none"/>
                <w:lang w:eastAsia="zh-CN"/>
              </w:rPr>
              <w:t>潜未来</w:t>
            </w:r>
            <w:r>
              <w:rPr>
                <w:rFonts w:hint="eastAsia" w:eastAsia="宋体"/>
                <w:b/>
                <w:color w:val="auto"/>
                <w:sz w:val="21"/>
                <w:szCs w:val="21"/>
                <w:highlight w:val="none"/>
              </w:rPr>
              <w:t>产业。</w:t>
            </w:r>
            <w:r>
              <w:rPr>
                <w:rFonts w:hint="eastAsia" w:eastAsia="宋体"/>
                <w:bCs/>
                <w:color w:val="auto"/>
                <w:sz w:val="21"/>
                <w:szCs w:val="21"/>
                <w:highlight w:val="none"/>
              </w:rPr>
              <w:t>北戴河大数据存储中心和智能计算中心、航运大数据产业中心（国际软件产业园）、中信戴卡数字园、秦皇岛软件新城、华为云产业提升、防威科技消防科技创新产业园、城安盛邦城市消防大数据综合应用管理系统、东大鼎润产业园</w:t>
            </w:r>
            <w:r>
              <w:rPr>
                <w:rFonts w:hint="eastAsia" w:eastAsia="宋体"/>
                <w:bCs/>
                <w:color w:val="auto"/>
                <w:sz w:val="21"/>
                <w:szCs w:val="21"/>
                <w:highlight w:val="none"/>
                <w:lang w:eastAsia="zh-CN"/>
              </w:rPr>
              <w:t>、</w:t>
            </w:r>
            <w:r>
              <w:rPr>
                <w:rFonts w:hint="eastAsia" w:ascii="Times New Roman" w:hAnsi="Times New Roman" w:eastAsia="宋体"/>
                <w:bCs/>
                <w:color w:val="auto"/>
                <w:sz w:val="21"/>
                <w:highlight w:val="none"/>
              </w:rPr>
              <w:t>中法国际文创园、洪泰智造创新产业社区、海港区科技成果转化园、北京晨殿传媒直播带货基地、荣智新零售产业园。</w:t>
            </w:r>
          </w:p>
        </w:tc>
      </w:tr>
    </w:tbl>
    <w:p w14:paraId="11EF7CEC">
      <w:pPr>
        <w:numPr>
          <w:ilvl w:val="0"/>
          <w:numId w:val="0"/>
        </w:numPr>
        <w:spacing w:line="560" w:lineRule="exact"/>
        <w:ind w:firstLine="640" w:firstLineChars="200"/>
        <w:outlineLvl w:val="1"/>
        <w:rPr>
          <w:rFonts w:eastAsia="黑体"/>
          <w:b w:val="0"/>
          <w:bCs w:val="0"/>
          <w:color w:val="auto"/>
          <w:highlight w:val="none"/>
        </w:rPr>
      </w:pPr>
      <w:bookmarkStart w:id="201" w:name="_Toc9679"/>
      <w:r>
        <w:rPr>
          <w:rFonts w:hint="eastAsia" w:eastAsia="黑体"/>
          <w:b w:val="0"/>
          <w:bCs w:val="0"/>
          <w:color w:val="auto"/>
          <w:highlight w:val="none"/>
          <w:lang w:eastAsia="zh-CN"/>
        </w:rPr>
        <w:t>三、</w:t>
      </w:r>
      <w:r>
        <w:rPr>
          <w:rFonts w:hint="eastAsia" w:eastAsia="黑体"/>
          <w:b w:val="0"/>
          <w:bCs w:val="0"/>
          <w:color w:val="auto"/>
          <w:highlight w:val="none"/>
        </w:rPr>
        <w:t>大力发展数字经济</w:t>
      </w:r>
      <w:bookmarkEnd w:id="201"/>
    </w:p>
    <w:p w14:paraId="6461292C">
      <w:pPr>
        <w:spacing w:line="560" w:lineRule="exact"/>
        <w:ind w:firstLine="640" w:firstLineChars="200"/>
        <w:outlineLvl w:val="9"/>
        <w:rPr>
          <w:rFonts w:hint="eastAsia" w:eastAsia="仿宋_GB2312"/>
          <w:color w:val="auto"/>
          <w:highlight w:val="none"/>
        </w:rPr>
      </w:pPr>
      <w:bookmarkStart w:id="202" w:name="_Toc12558"/>
      <w:bookmarkStart w:id="203" w:name="_Toc1483"/>
      <w:r>
        <w:rPr>
          <w:rFonts w:hint="eastAsia" w:eastAsia="仿宋_GB2312"/>
          <w:color w:val="auto"/>
          <w:highlight w:val="none"/>
        </w:rPr>
        <w:t>紧紧抓住京津冀协同发展机遇，统筹全</w:t>
      </w:r>
      <w:r>
        <w:rPr>
          <w:rFonts w:hint="eastAsia" w:eastAsia="仿宋_GB2312"/>
          <w:color w:val="auto"/>
          <w:highlight w:val="none"/>
          <w:lang w:eastAsia="zh-CN"/>
        </w:rPr>
        <w:t>市</w:t>
      </w:r>
      <w:r>
        <w:rPr>
          <w:rFonts w:hint="eastAsia" w:eastAsia="仿宋_GB2312"/>
          <w:color w:val="auto"/>
          <w:highlight w:val="none"/>
        </w:rPr>
        <w:t>大数据产业布局，打造</w:t>
      </w:r>
      <w:r>
        <w:rPr>
          <w:rFonts w:hint="eastAsia" w:eastAsia="仿宋_GB2312"/>
          <w:color w:val="auto"/>
          <w:highlight w:val="none"/>
          <w:lang w:eastAsia="zh-CN"/>
        </w:rPr>
        <w:t>以</w:t>
      </w:r>
      <w:r>
        <w:rPr>
          <w:rFonts w:hint="eastAsia" w:eastAsia="仿宋_GB2312"/>
          <w:color w:val="auto"/>
          <w:highlight w:val="none"/>
        </w:rPr>
        <w:t>开发区</w:t>
      </w:r>
      <w:r>
        <w:rPr>
          <w:rFonts w:hint="eastAsia" w:eastAsia="仿宋_GB2312"/>
          <w:color w:val="auto"/>
          <w:highlight w:val="none"/>
          <w:lang w:eastAsia="zh-CN"/>
        </w:rPr>
        <w:t>为中心，</w:t>
      </w:r>
      <w:r>
        <w:rPr>
          <w:rFonts w:hint="eastAsia" w:eastAsia="仿宋_GB2312"/>
          <w:color w:val="auto"/>
          <w:highlight w:val="none"/>
        </w:rPr>
        <w:t>海港区、</w:t>
      </w:r>
      <w:r>
        <w:rPr>
          <w:rFonts w:hint="eastAsia" w:eastAsia="仿宋_GB2312"/>
          <w:color w:val="auto"/>
          <w:highlight w:val="none"/>
          <w:lang w:eastAsia="zh-CN"/>
        </w:rPr>
        <w:t>北戴河区</w:t>
      </w:r>
      <w:r>
        <w:rPr>
          <w:rFonts w:hint="eastAsia" w:eastAsia="仿宋_GB2312"/>
          <w:color w:val="auto"/>
          <w:highlight w:val="none"/>
        </w:rPr>
        <w:t>、</w:t>
      </w:r>
      <w:r>
        <w:rPr>
          <w:rFonts w:hint="eastAsia" w:eastAsia="仿宋_GB2312"/>
          <w:color w:val="auto"/>
          <w:highlight w:val="none"/>
          <w:lang w:eastAsia="zh-CN"/>
        </w:rPr>
        <w:t>北戴河新区为</w:t>
      </w:r>
      <w:r>
        <w:rPr>
          <w:rFonts w:hint="eastAsia" w:eastAsia="仿宋_GB2312"/>
          <w:color w:val="auto"/>
          <w:highlight w:val="none"/>
        </w:rPr>
        <w:t>片区</w:t>
      </w:r>
      <w:r>
        <w:rPr>
          <w:rFonts w:hint="eastAsia" w:eastAsia="仿宋_GB2312"/>
          <w:color w:val="auto"/>
          <w:highlight w:val="none"/>
          <w:lang w:eastAsia="zh-CN"/>
        </w:rPr>
        <w:t>的大数据产业园区</w:t>
      </w:r>
      <w:r>
        <w:rPr>
          <w:rFonts w:hint="eastAsia" w:eastAsia="仿宋_GB2312"/>
          <w:color w:val="auto"/>
          <w:highlight w:val="none"/>
        </w:rPr>
        <w:t>。在智能制造、</w:t>
      </w:r>
      <w:r>
        <w:rPr>
          <w:rFonts w:hint="eastAsia" w:eastAsia="仿宋_GB2312"/>
          <w:color w:val="auto"/>
          <w:highlight w:val="none"/>
          <w:lang w:eastAsia="zh-CN"/>
        </w:rPr>
        <w:t>电子政务</w:t>
      </w:r>
      <w:r>
        <w:rPr>
          <w:rFonts w:hint="eastAsia" w:eastAsia="仿宋_GB2312"/>
          <w:color w:val="auto"/>
          <w:highlight w:val="none"/>
        </w:rPr>
        <w:t>、</w:t>
      </w:r>
      <w:r>
        <w:rPr>
          <w:rFonts w:hint="eastAsia" w:eastAsia="仿宋_GB2312"/>
          <w:color w:val="auto"/>
          <w:highlight w:val="none"/>
          <w:lang w:eastAsia="zh-CN"/>
        </w:rPr>
        <w:t>文化旅游、生态环境、教育</w:t>
      </w:r>
      <w:r>
        <w:rPr>
          <w:rFonts w:hint="eastAsia" w:eastAsia="仿宋_GB2312"/>
          <w:color w:val="auto"/>
          <w:highlight w:val="none"/>
        </w:rPr>
        <w:t>医疗</w:t>
      </w:r>
      <w:r>
        <w:rPr>
          <w:rFonts w:hint="eastAsia" w:eastAsia="仿宋_GB2312"/>
          <w:color w:val="auto"/>
          <w:highlight w:val="none"/>
          <w:lang w:eastAsia="zh-CN"/>
        </w:rPr>
        <w:t>、健康养老</w:t>
      </w:r>
      <w:r>
        <w:rPr>
          <w:rFonts w:hint="eastAsia" w:eastAsia="仿宋_GB2312"/>
          <w:color w:val="auto"/>
          <w:highlight w:val="none"/>
        </w:rPr>
        <w:t>、</w:t>
      </w:r>
      <w:r>
        <w:rPr>
          <w:rFonts w:hint="eastAsia" w:eastAsia="仿宋_GB2312"/>
          <w:color w:val="auto"/>
          <w:highlight w:val="none"/>
          <w:lang w:eastAsia="zh-CN"/>
        </w:rPr>
        <w:t>民生</w:t>
      </w:r>
      <w:r>
        <w:rPr>
          <w:rFonts w:hint="eastAsia" w:eastAsia="仿宋_GB2312"/>
          <w:color w:val="auto"/>
          <w:highlight w:val="none"/>
        </w:rPr>
        <w:t>服务等行业领域开展融合应用。聚焦智能汽车、智能终端、生命健康、数字城市等</w:t>
      </w:r>
      <w:r>
        <w:rPr>
          <w:rFonts w:hint="eastAsia" w:eastAsia="仿宋_GB2312"/>
          <w:color w:val="auto"/>
          <w:highlight w:val="none"/>
          <w:lang w:eastAsia="zh-CN"/>
        </w:rPr>
        <w:t>发展</w:t>
      </w:r>
      <w:r>
        <w:rPr>
          <w:rFonts w:hint="eastAsia" w:eastAsia="仿宋_GB2312"/>
          <w:color w:val="auto"/>
          <w:highlight w:val="none"/>
        </w:rPr>
        <w:t>方向，重点引进一批数据采集、数据分析、数据处理、数据调查、数据安全等大数据企业。</w:t>
      </w:r>
    </w:p>
    <w:p w14:paraId="6B6AB94B">
      <w:pPr>
        <w:spacing w:line="560" w:lineRule="exact"/>
        <w:ind w:firstLine="640" w:firstLineChars="200"/>
        <w:outlineLvl w:val="9"/>
        <w:rPr>
          <w:rFonts w:eastAsia="仿宋_GB2312"/>
          <w:color w:val="auto"/>
          <w:highlight w:val="none"/>
        </w:rPr>
      </w:pPr>
      <w:r>
        <w:rPr>
          <w:rFonts w:hint="eastAsia" w:eastAsia="仿宋_GB2312"/>
          <w:color w:val="auto"/>
          <w:highlight w:val="none"/>
        </w:rPr>
        <w:t>推进数字产业化发展</w:t>
      </w:r>
      <w:bookmarkEnd w:id="202"/>
      <w:bookmarkEnd w:id="203"/>
      <w:r>
        <w:rPr>
          <w:rFonts w:hint="eastAsia" w:eastAsia="仿宋_GB2312"/>
          <w:color w:val="auto"/>
          <w:highlight w:val="none"/>
        </w:rPr>
        <w:t>。积极对接京津冀大数据中心建设，加快构建现代化数据资源体系，建设互联网数据中心，推动数据中心网络融合、技术融合、数据融合、业务融合，加快公共数据资源有序开放和共享，提升数据资源汇聚、采集和分析能力，积极发展数据加工分析业务，引进培育数据清洗、脱敏、建模、分析挖掘、可视化等大数据产业，发展档案数字化、网络数据清洗、图像视频数据标引、语音数据训练、工业自动化数据等业务。</w:t>
      </w:r>
    </w:p>
    <w:p w14:paraId="7BB2E67B">
      <w:pPr>
        <w:spacing w:line="560" w:lineRule="exact"/>
        <w:ind w:firstLine="640" w:firstLineChars="200"/>
        <w:outlineLvl w:val="9"/>
        <w:rPr>
          <w:rFonts w:eastAsia="仿宋_GB2312"/>
          <w:color w:val="auto"/>
          <w:highlight w:val="none"/>
        </w:rPr>
      </w:pPr>
      <w:r>
        <w:rPr>
          <w:rFonts w:hint="eastAsia" w:eastAsia="仿宋_GB2312"/>
          <w:color w:val="auto"/>
          <w:highlight w:val="none"/>
        </w:rPr>
        <w:t>推进产业数字化升级。实施制造业数字化转型行动计划，加快智能装备、智能模块整体解决方案在企业智能改造中的应用，大力推进工业互联网平台建设，开展</w:t>
      </w:r>
      <w:r>
        <w:rPr>
          <w:rFonts w:hint="eastAsia" w:eastAsia="仿宋_GB2312"/>
          <w:color w:val="auto"/>
          <w:highlight w:val="none"/>
          <w:lang w:eastAsia="zh-CN"/>
        </w:rPr>
        <w:t>“</w:t>
      </w:r>
      <w:r>
        <w:rPr>
          <w:rFonts w:hint="eastAsia" w:eastAsia="仿宋_GB2312"/>
          <w:color w:val="auto"/>
          <w:highlight w:val="none"/>
        </w:rPr>
        <w:t>制造业</w:t>
      </w:r>
      <w:r>
        <w:rPr>
          <w:rFonts w:eastAsia="仿宋_GB2312"/>
          <w:color w:val="auto"/>
          <w:highlight w:val="none"/>
        </w:rPr>
        <w:t>+</w:t>
      </w:r>
      <w:r>
        <w:rPr>
          <w:rFonts w:hint="eastAsia" w:eastAsia="仿宋_GB2312"/>
          <w:color w:val="auto"/>
          <w:highlight w:val="none"/>
        </w:rPr>
        <w:t>互联网</w:t>
      </w:r>
      <w:r>
        <w:rPr>
          <w:rFonts w:hint="eastAsia" w:eastAsia="仿宋_GB2312"/>
          <w:color w:val="auto"/>
          <w:highlight w:val="none"/>
          <w:lang w:eastAsia="zh-CN"/>
        </w:rPr>
        <w:t>”</w:t>
      </w:r>
      <w:r>
        <w:rPr>
          <w:rFonts w:hint="eastAsia" w:eastAsia="仿宋_GB2312"/>
          <w:color w:val="auto"/>
          <w:highlight w:val="none"/>
        </w:rPr>
        <w:t>模式应用试点示范，发展建设智能工厂，实现生产过程透明化、生产现场智能化、工厂运营管理现代化。加快服务业数字化发展，推动数字技术与交通物流、设计咨询等生产性服务业，旅游、医疗、教育、养老和体育等生活性服务业深入融合，促进服务业智能化发展。推动农业数字化转型，构建农业农村信息服务系统，推广农业物联网应用，利用数字技术开展农业生产经营全程托管、农业植保、病虫害防治服务。实施上云用数赋智行动，鼓励平台企业、行业龙头企业整合开放资源，构建产业互联网平台，为中小微企业数字化转型赋能。</w:t>
      </w:r>
    </w:p>
    <w:p w14:paraId="459C547F">
      <w:pPr>
        <w:numPr>
          <w:ilvl w:val="0"/>
          <w:numId w:val="1"/>
        </w:numPr>
        <w:spacing w:line="560" w:lineRule="exact"/>
        <w:ind w:firstLine="640" w:firstLineChars="200"/>
        <w:outlineLvl w:val="1"/>
        <w:rPr>
          <w:rFonts w:eastAsia="黑体"/>
          <w:color w:val="auto"/>
          <w:highlight w:val="none"/>
        </w:rPr>
      </w:pPr>
      <w:bookmarkStart w:id="204" w:name="_Toc13179"/>
      <w:r>
        <w:rPr>
          <w:rFonts w:hint="eastAsia" w:eastAsia="黑体"/>
          <w:color w:val="auto"/>
          <w:highlight w:val="none"/>
        </w:rPr>
        <w:t>培育发展新业态新模式</w:t>
      </w:r>
      <w:bookmarkEnd w:id="204"/>
    </w:p>
    <w:p w14:paraId="2EB4D743">
      <w:pPr>
        <w:pStyle w:val="9"/>
        <w:spacing w:after="0" w:line="560" w:lineRule="exact"/>
        <w:ind w:left="0" w:leftChars="0" w:firstLine="0" w:firstLineChars="0"/>
        <w:rPr>
          <w:rFonts w:eastAsia="仿宋_GB2312"/>
          <w:color w:val="auto"/>
          <w:kern w:val="2"/>
          <w:highlight w:val="none"/>
        </w:rPr>
      </w:pPr>
      <w:r>
        <w:rPr>
          <w:color w:val="auto"/>
          <w:highlight w:val="none"/>
        </w:rPr>
        <w:t xml:space="preserve">   </w:t>
      </w:r>
      <w:r>
        <w:rPr>
          <w:rFonts w:eastAsia="仿宋"/>
          <w:color w:val="auto"/>
          <w:highlight w:val="none"/>
        </w:rPr>
        <w:t xml:space="preserve"> </w:t>
      </w:r>
      <w:r>
        <w:rPr>
          <w:rFonts w:hint="eastAsia" w:eastAsia="仿宋_GB2312"/>
          <w:color w:val="auto"/>
          <w:kern w:val="2"/>
          <w:highlight w:val="none"/>
        </w:rPr>
        <w:t>促进先进制造业和现代服务业融合发展。推动原材料企业加快向产品和专业服务解决方案提供商转型；消费品工业发展规模化、个性化定制，提供</w:t>
      </w:r>
      <w:r>
        <w:rPr>
          <w:rFonts w:hint="eastAsia" w:eastAsia="仿宋_GB2312"/>
          <w:color w:val="auto"/>
          <w:kern w:val="2"/>
          <w:highlight w:val="none"/>
          <w:lang w:eastAsia="zh-CN"/>
        </w:rPr>
        <w:t>“</w:t>
      </w:r>
      <w:r>
        <w:rPr>
          <w:rFonts w:hint="eastAsia" w:eastAsia="仿宋_GB2312"/>
          <w:color w:val="auto"/>
          <w:kern w:val="2"/>
          <w:highlight w:val="none"/>
        </w:rPr>
        <w:t>产品</w:t>
      </w:r>
      <w:r>
        <w:rPr>
          <w:rFonts w:eastAsia="仿宋_GB2312"/>
          <w:color w:val="auto"/>
          <w:kern w:val="2"/>
          <w:highlight w:val="none"/>
        </w:rPr>
        <w:t>+</w:t>
      </w:r>
      <w:r>
        <w:rPr>
          <w:rFonts w:hint="eastAsia" w:eastAsia="仿宋_GB2312"/>
          <w:color w:val="auto"/>
          <w:kern w:val="2"/>
          <w:highlight w:val="none"/>
        </w:rPr>
        <w:t>内容</w:t>
      </w:r>
      <w:r>
        <w:rPr>
          <w:rFonts w:eastAsia="仿宋_GB2312"/>
          <w:color w:val="auto"/>
          <w:kern w:val="2"/>
          <w:highlight w:val="none"/>
        </w:rPr>
        <w:t>+</w:t>
      </w:r>
      <w:r>
        <w:rPr>
          <w:rFonts w:hint="eastAsia" w:eastAsia="仿宋_GB2312"/>
          <w:color w:val="auto"/>
          <w:kern w:val="2"/>
          <w:highlight w:val="none"/>
        </w:rPr>
        <w:t>生态</w:t>
      </w:r>
      <w:r>
        <w:rPr>
          <w:rFonts w:hint="eastAsia" w:eastAsia="仿宋_GB2312"/>
          <w:color w:val="auto"/>
          <w:kern w:val="2"/>
          <w:highlight w:val="none"/>
          <w:lang w:eastAsia="zh-CN"/>
        </w:rPr>
        <w:t>”</w:t>
      </w:r>
      <w:r>
        <w:rPr>
          <w:rFonts w:hint="eastAsia" w:eastAsia="仿宋_GB2312"/>
          <w:color w:val="auto"/>
          <w:kern w:val="2"/>
          <w:highlight w:val="none"/>
        </w:rPr>
        <w:t>全链式智能生态服务；装备制造业企业向系统集成和整体解决方案提供商转型。鼓励物流、快递企业融入制造业采购、生产、仓储配送等环节，持续推进降本增效；开展制造业设计能力提升专项行动，促进工业设计向高端综合设计服务转型；满足重点领域消费升级需求，推动智能设备产业创新发展，实现设备智能化、生活智慧化。抓好试点示范带动，推进秦冶重工、莱特流体等省级先进制造业与现代服务业融合试点建设，引导带动更多企业创建国家和省级</w:t>
      </w:r>
      <w:r>
        <w:rPr>
          <w:rFonts w:hint="eastAsia" w:eastAsia="仿宋_GB2312"/>
          <w:color w:val="auto"/>
          <w:kern w:val="2"/>
          <w:highlight w:val="none"/>
          <w:lang w:eastAsia="zh-CN"/>
        </w:rPr>
        <w:t>“</w:t>
      </w:r>
      <w:r>
        <w:rPr>
          <w:rFonts w:hint="eastAsia" w:eastAsia="仿宋_GB2312"/>
          <w:color w:val="auto"/>
          <w:kern w:val="2"/>
          <w:highlight w:val="none"/>
        </w:rPr>
        <w:t>两业</w:t>
      </w:r>
      <w:r>
        <w:rPr>
          <w:rFonts w:hint="eastAsia" w:eastAsia="仿宋_GB2312"/>
          <w:color w:val="auto"/>
          <w:kern w:val="2"/>
          <w:highlight w:val="none"/>
          <w:lang w:eastAsia="zh-CN"/>
        </w:rPr>
        <w:t>”</w:t>
      </w:r>
      <w:r>
        <w:rPr>
          <w:rFonts w:hint="eastAsia" w:eastAsia="仿宋_GB2312"/>
          <w:color w:val="auto"/>
          <w:kern w:val="2"/>
          <w:highlight w:val="none"/>
        </w:rPr>
        <w:t>融合试点企业，建设产业融合发展示范城市。</w:t>
      </w:r>
    </w:p>
    <w:p w14:paraId="19E74E3C">
      <w:pPr>
        <w:spacing w:line="560" w:lineRule="exact"/>
        <w:ind w:firstLine="640" w:firstLineChars="200"/>
        <w:rPr>
          <w:rFonts w:eastAsia="仿宋_GB2312"/>
          <w:color w:val="auto"/>
          <w:highlight w:val="none"/>
        </w:rPr>
      </w:pPr>
      <w:r>
        <w:rPr>
          <w:rFonts w:hint="eastAsia" w:eastAsia="仿宋_GB2312"/>
          <w:color w:val="auto"/>
          <w:highlight w:val="none"/>
        </w:rPr>
        <w:t>积极探索线上服务新模式。大力发展融合化在线教育，积极推动符合条件的社会化、市场化优秀在线课程资源纳入部分教育阶段的日常教学体系，试点开展基于线上智能环境的课堂教学，深化普及</w:t>
      </w:r>
      <w:r>
        <w:rPr>
          <w:rFonts w:hint="eastAsia" w:eastAsia="仿宋_GB2312"/>
          <w:color w:val="auto"/>
          <w:highlight w:val="none"/>
          <w:lang w:eastAsia="zh-CN"/>
        </w:rPr>
        <w:t>“</w:t>
      </w:r>
      <w:r>
        <w:rPr>
          <w:rFonts w:hint="eastAsia" w:eastAsia="仿宋_GB2312"/>
          <w:color w:val="auto"/>
          <w:highlight w:val="none"/>
        </w:rPr>
        <w:t>三个课堂</w:t>
      </w:r>
      <w:r>
        <w:rPr>
          <w:rFonts w:hint="eastAsia" w:eastAsia="仿宋_GB2312"/>
          <w:color w:val="auto"/>
          <w:highlight w:val="none"/>
          <w:lang w:eastAsia="zh-CN"/>
        </w:rPr>
        <w:t>”</w:t>
      </w:r>
      <w:r>
        <w:rPr>
          <w:rFonts w:hint="eastAsia" w:eastAsia="仿宋_GB2312"/>
          <w:color w:val="auto"/>
          <w:highlight w:val="none"/>
        </w:rPr>
        <w:t>应用。积极发展互联网医疗，加强智慧医院建设，推进线上预约检查检验，规范推广慢性病互联网复诊、远程医疗、互联网健康咨询等模式。鼓励发展便捷化线上办公，支持远程办公应用推广和安全可靠的线上办公工具研发，满足日常性多方协同工作、异地协同办公需求。</w:t>
      </w:r>
    </w:p>
    <w:p w14:paraId="7C4FB297">
      <w:pPr>
        <w:spacing w:line="560" w:lineRule="exact"/>
        <w:ind w:firstLine="640" w:firstLineChars="200"/>
        <w:rPr>
          <w:rFonts w:eastAsia="仿宋_GB2312"/>
          <w:color w:val="auto"/>
          <w:highlight w:val="none"/>
        </w:rPr>
      </w:pPr>
      <w:r>
        <w:rPr>
          <w:rFonts w:hint="eastAsia" w:eastAsia="仿宋_GB2312"/>
          <w:color w:val="auto"/>
          <w:highlight w:val="none"/>
        </w:rPr>
        <w:t>培育发展共享经济新业态。推动生产能力共享，鼓励引导行业龙头企业面向中小微企业共享具备智能互联功能的生产设备，开放企业研发设计、生产物流、检验检测等全产业链资源，鼓励互联网企业建设分散产能共享平台，促进生产需求高效智能匹配。推动生活服务共享，支持建设交通出行、旅游资源、医疗服务、住房租赁交易等一批生活服务共享平台，释放社会闲置生活服务资源，提高资源配置效率。推动创新要素共享，推进高校、科研院所和国有企业的各类重点（工程）实验室、工程（技术）研究中心等向社会开放，探索建立集科研仪器和科研人才共享、科研咨询与合作开发项目为一体的科技资源共享新模式，推动研发、设计、创意、咨询、法务、运营、技能实训等智力资源和服务能力共享，加速知识技能落地推广应用。</w:t>
      </w:r>
    </w:p>
    <w:p w14:paraId="7258D737">
      <w:pPr>
        <w:spacing w:line="560" w:lineRule="exact"/>
        <w:ind w:firstLine="640" w:firstLineChars="200"/>
        <w:rPr>
          <w:rFonts w:eastAsia="仿宋_GB2312"/>
          <w:color w:val="auto"/>
          <w:highlight w:val="none"/>
        </w:rPr>
      </w:pPr>
      <w:r>
        <w:rPr>
          <w:rFonts w:hint="eastAsia" w:eastAsia="仿宋_GB2312"/>
          <w:color w:val="auto"/>
          <w:highlight w:val="none"/>
        </w:rPr>
        <w:t>鼓励发展新个体经济。积极培育新个体，支持微商电商、网络直播等多样化就业，鼓励发展基于知识传播、经验分享的创新平台。大力发展微经济，支持线上多样化社交、短视频平台有序发展，鼓励微创新、微应用、微产品、微电影等万众创新。引导</w:t>
      </w:r>
      <w:r>
        <w:rPr>
          <w:rFonts w:hint="eastAsia" w:eastAsia="仿宋_GB2312"/>
          <w:color w:val="auto"/>
          <w:highlight w:val="none"/>
          <w:lang w:eastAsia="zh-CN"/>
        </w:rPr>
        <w:t>“</w:t>
      </w:r>
      <w:r>
        <w:rPr>
          <w:rFonts w:hint="eastAsia" w:eastAsia="仿宋_GB2312"/>
          <w:color w:val="auto"/>
          <w:highlight w:val="none"/>
        </w:rPr>
        <w:t>宅经济</w:t>
      </w:r>
      <w:r>
        <w:rPr>
          <w:rFonts w:hint="eastAsia" w:eastAsia="仿宋_GB2312"/>
          <w:color w:val="auto"/>
          <w:highlight w:val="none"/>
          <w:lang w:eastAsia="zh-CN"/>
        </w:rPr>
        <w:t>”</w:t>
      </w:r>
      <w:r>
        <w:rPr>
          <w:rFonts w:hint="eastAsia" w:eastAsia="仿宋_GB2312"/>
          <w:color w:val="auto"/>
          <w:highlight w:val="none"/>
        </w:rPr>
        <w:t>合理发展，促进线上直播等服务新方式规范健康发展。</w:t>
      </w:r>
    </w:p>
    <w:p w14:paraId="01C2C513">
      <w:pPr>
        <w:spacing w:line="560" w:lineRule="exact"/>
        <w:ind w:firstLine="640" w:firstLineChars="200"/>
        <w:outlineLvl w:val="1"/>
        <w:rPr>
          <w:rFonts w:eastAsia="黑体"/>
          <w:b w:val="0"/>
          <w:bCs w:val="0"/>
          <w:color w:val="auto"/>
          <w:highlight w:val="none"/>
        </w:rPr>
      </w:pPr>
      <w:bookmarkStart w:id="205" w:name="_Toc1684"/>
      <w:bookmarkStart w:id="206" w:name="_Toc9034"/>
      <w:r>
        <w:rPr>
          <w:rFonts w:hint="eastAsia" w:eastAsia="黑体"/>
          <w:b w:val="0"/>
          <w:bCs w:val="0"/>
          <w:color w:val="auto"/>
          <w:highlight w:val="none"/>
          <w:lang w:eastAsia="zh-CN"/>
        </w:rPr>
        <w:t>五</w:t>
      </w:r>
      <w:r>
        <w:rPr>
          <w:rFonts w:hint="eastAsia" w:eastAsia="黑体"/>
          <w:b w:val="0"/>
          <w:bCs w:val="0"/>
          <w:color w:val="auto"/>
          <w:highlight w:val="none"/>
        </w:rPr>
        <w:t>、建设质量强市</w:t>
      </w:r>
      <w:bookmarkEnd w:id="205"/>
      <w:bookmarkEnd w:id="206"/>
    </w:p>
    <w:p w14:paraId="501A7429">
      <w:pPr>
        <w:spacing w:line="560" w:lineRule="exact"/>
        <w:ind w:firstLine="640" w:firstLineChars="200"/>
        <w:rPr>
          <w:rFonts w:eastAsia="仿宋_GB2312"/>
          <w:color w:val="auto"/>
          <w:highlight w:val="none"/>
        </w:rPr>
      </w:pPr>
      <w:r>
        <w:rPr>
          <w:rFonts w:hint="eastAsia" w:eastAsia="仿宋_GB2312"/>
          <w:color w:val="auto"/>
          <w:highlight w:val="none"/>
        </w:rPr>
        <w:t>坚持质量第一，效益优先，深入实施</w:t>
      </w:r>
      <w:r>
        <w:rPr>
          <w:rFonts w:hint="eastAsia" w:eastAsia="仿宋_GB2312"/>
          <w:color w:val="auto"/>
          <w:highlight w:val="none"/>
          <w:lang w:eastAsia="zh-CN"/>
        </w:rPr>
        <w:t>“</w:t>
      </w:r>
      <w:r>
        <w:rPr>
          <w:rFonts w:hint="eastAsia" w:eastAsia="仿宋_GB2312"/>
          <w:color w:val="auto"/>
          <w:highlight w:val="none"/>
        </w:rPr>
        <w:t>质量强市</w:t>
      </w:r>
      <w:r>
        <w:rPr>
          <w:rFonts w:hint="eastAsia" w:eastAsia="仿宋_GB2312"/>
          <w:color w:val="auto"/>
          <w:highlight w:val="none"/>
          <w:lang w:eastAsia="zh-CN"/>
        </w:rPr>
        <w:t>”</w:t>
      </w:r>
      <w:r>
        <w:rPr>
          <w:rFonts w:hint="eastAsia" w:eastAsia="仿宋_GB2312"/>
          <w:color w:val="auto"/>
          <w:highlight w:val="none"/>
        </w:rPr>
        <w:t>战略，</w:t>
      </w:r>
      <w:r>
        <w:rPr>
          <w:rStyle w:val="56"/>
          <w:rFonts w:hint="eastAsia" w:eastAsia="仿宋_GB2312"/>
          <w:color w:val="auto"/>
          <w:highlight w:val="none"/>
        </w:rPr>
        <w:t>实施工业振兴行动计划，</w:t>
      </w:r>
      <w:r>
        <w:rPr>
          <w:rFonts w:hint="eastAsia" w:eastAsia="仿宋_GB2312"/>
          <w:color w:val="auto"/>
          <w:highlight w:val="none"/>
        </w:rPr>
        <w:t>完善高质量发展政策体系，发挥先进标准引领作用，开展质量提升行动，完善质量基础设施，促进标准、质量、品牌、信誉联动提升，推进全国质量强市示范城市建设，推动秦皇岛发展迈向质量时代。</w:t>
      </w:r>
    </w:p>
    <w:p w14:paraId="6C964E6C">
      <w:pPr>
        <w:spacing w:line="560" w:lineRule="exact"/>
        <w:ind w:firstLine="640" w:firstLineChars="200"/>
        <w:outlineLvl w:val="2"/>
        <w:rPr>
          <w:b w:val="0"/>
          <w:bCs w:val="0"/>
          <w:color w:val="auto"/>
          <w:highlight w:val="none"/>
        </w:rPr>
      </w:pPr>
      <w:bookmarkStart w:id="207" w:name="_Toc32215"/>
      <w:bookmarkStart w:id="208" w:name="_Toc13590"/>
      <w:r>
        <w:rPr>
          <w:rFonts w:hint="eastAsia"/>
          <w:b w:val="0"/>
          <w:bCs w:val="0"/>
          <w:color w:val="auto"/>
          <w:highlight w:val="none"/>
        </w:rPr>
        <w:t>（一）构建新型标准体系</w:t>
      </w:r>
      <w:bookmarkEnd w:id="207"/>
      <w:bookmarkEnd w:id="208"/>
    </w:p>
    <w:p w14:paraId="4BB144F1">
      <w:pPr>
        <w:spacing w:line="560" w:lineRule="exact"/>
        <w:ind w:firstLine="640" w:firstLineChars="200"/>
        <w:rPr>
          <w:rFonts w:eastAsia="仿宋_GB2312"/>
          <w:color w:val="auto"/>
          <w:highlight w:val="none"/>
        </w:rPr>
      </w:pPr>
      <w:r>
        <w:rPr>
          <w:rFonts w:hint="eastAsia" w:eastAsia="仿宋_GB2312"/>
          <w:color w:val="auto"/>
          <w:highlight w:val="none"/>
        </w:rPr>
        <w:t>深入推进</w:t>
      </w:r>
      <w:r>
        <w:rPr>
          <w:rFonts w:hint="eastAsia" w:eastAsia="仿宋_GB2312"/>
          <w:color w:val="auto"/>
          <w:highlight w:val="none"/>
          <w:lang w:eastAsia="zh-CN"/>
        </w:rPr>
        <w:t>“</w:t>
      </w:r>
      <w:r>
        <w:rPr>
          <w:rFonts w:hint="eastAsia" w:eastAsia="仿宋_GB2312"/>
          <w:color w:val="auto"/>
          <w:highlight w:val="none"/>
        </w:rPr>
        <w:t>六大标准体系</w:t>
      </w:r>
      <w:r>
        <w:rPr>
          <w:rFonts w:hint="eastAsia" w:eastAsia="仿宋_GB2312"/>
          <w:color w:val="auto"/>
          <w:highlight w:val="none"/>
          <w:lang w:eastAsia="zh-CN"/>
        </w:rPr>
        <w:t>”</w:t>
      </w:r>
      <w:r>
        <w:rPr>
          <w:rFonts w:hint="eastAsia" w:eastAsia="仿宋_GB2312"/>
          <w:color w:val="auto"/>
          <w:highlight w:val="none"/>
        </w:rPr>
        <w:t>建设，搭建推动高质量发展的新型标准体系框架。围绕发展现代农业和现代服务业、社会管理和公共服务等重点领域，制订一批市级地方标准。支持企事业单位主持或参与制修订国际、国家、行业标准，培育发展团体标准，谋划实施一批京津冀协同标准。深入实施企业标准</w:t>
      </w:r>
      <w:r>
        <w:rPr>
          <w:rFonts w:hint="eastAsia" w:eastAsia="仿宋_GB2312"/>
          <w:color w:val="auto"/>
          <w:highlight w:val="none"/>
          <w:lang w:eastAsia="zh-CN"/>
        </w:rPr>
        <w:t>“</w:t>
      </w:r>
      <w:r>
        <w:rPr>
          <w:rFonts w:hint="eastAsia" w:eastAsia="仿宋_GB2312"/>
          <w:color w:val="auto"/>
          <w:highlight w:val="none"/>
        </w:rPr>
        <w:t>领跑者</w:t>
      </w:r>
      <w:r>
        <w:rPr>
          <w:rFonts w:hint="eastAsia" w:eastAsia="仿宋_GB2312"/>
          <w:color w:val="auto"/>
          <w:highlight w:val="none"/>
          <w:lang w:eastAsia="zh-CN"/>
        </w:rPr>
        <w:t>”</w:t>
      </w:r>
      <w:r>
        <w:rPr>
          <w:rFonts w:hint="eastAsia" w:eastAsia="仿宋_GB2312"/>
          <w:color w:val="auto"/>
          <w:highlight w:val="none"/>
        </w:rPr>
        <w:t>制度，支持中信戴卡公司开展系列技术标准创新研制工作。开展</w:t>
      </w:r>
      <w:r>
        <w:rPr>
          <w:rFonts w:hint="eastAsia" w:eastAsia="仿宋_GB2312"/>
          <w:color w:val="auto"/>
          <w:highlight w:val="none"/>
          <w:lang w:eastAsia="zh-CN"/>
        </w:rPr>
        <w:t>“</w:t>
      </w:r>
      <w:r>
        <w:rPr>
          <w:rFonts w:hint="eastAsia" w:eastAsia="仿宋_GB2312"/>
          <w:color w:val="auto"/>
          <w:highlight w:val="none"/>
        </w:rPr>
        <w:t>标准化</w:t>
      </w:r>
      <w:r>
        <w:rPr>
          <w:rFonts w:eastAsia="仿宋_GB2312"/>
          <w:color w:val="auto"/>
          <w:highlight w:val="none"/>
        </w:rPr>
        <w:t>+</w:t>
      </w:r>
      <w:r>
        <w:rPr>
          <w:rFonts w:hint="eastAsia" w:eastAsia="仿宋_GB2312"/>
          <w:color w:val="auto"/>
          <w:highlight w:val="none"/>
          <w:lang w:eastAsia="zh-CN"/>
        </w:rPr>
        <w:t>”</w:t>
      </w:r>
      <w:r>
        <w:rPr>
          <w:rFonts w:hint="eastAsia" w:eastAsia="仿宋_GB2312"/>
          <w:color w:val="auto"/>
          <w:highlight w:val="none"/>
        </w:rPr>
        <w:t>示范试点创建推广工程，推动省级标准化示范点项目建设。加强质量基础设施建设，积极推进国家质检中心、产业计量测试中心、技术创新中心、工程研究中心、重点实验室等公共技术平台建设，完善市县两级法定计量检定机构基础设施建设，加强认证监管，规范认证认可行为。</w:t>
      </w:r>
    </w:p>
    <w:p w14:paraId="42A4A734">
      <w:pPr>
        <w:spacing w:line="560" w:lineRule="exact"/>
        <w:ind w:firstLine="640" w:firstLineChars="200"/>
        <w:outlineLvl w:val="2"/>
        <w:rPr>
          <w:b w:val="0"/>
          <w:bCs w:val="0"/>
          <w:color w:val="auto"/>
          <w:highlight w:val="none"/>
        </w:rPr>
      </w:pPr>
      <w:bookmarkStart w:id="209" w:name="_Toc7165"/>
      <w:bookmarkStart w:id="210" w:name="_Toc21236"/>
      <w:r>
        <w:rPr>
          <w:rFonts w:hint="eastAsia"/>
          <w:b w:val="0"/>
          <w:bCs w:val="0"/>
          <w:color w:val="auto"/>
          <w:highlight w:val="none"/>
        </w:rPr>
        <w:t>（二）持续推动质量提升</w:t>
      </w:r>
      <w:bookmarkEnd w:id="209"/>
      <w:bookmarkEnd w:id="210"/>
    </w:p>
    <w:p w14:paraId="02792538">
      <w:pPr>
        <w:spacing w:line="560" w:lineRule="exact"/>
        <w:ind w:firstLine="640" w:firstLineChars="200"/>
        <w:rPr>
          <w:rFonts w:eastAsia="仿宋_GB2312"/>
          <w:color w:val="auto"/>
          <w:highlight w:val="none"/>
        </w:rPr>
      </w:pPr>
      <w:r>
        <w:rPr>
          <w:rFonts w:hint="eastAsia" w:eastAsia="仿宋_GB2312"/>
          <w:color w:val="auto"/>
          <w:highlight w:val="none"/>
        </w:rPr>
        <w:t>深化质量提升专项行动。推动高端装备制造、葡萄酒等产业集群提升制造业标准化水平和竞争力。全面推动</w:t>
      </w:r>
      <w:r>
        <w:rPr>
          <w:rFonts w:hint="eastAsia" w:eastAsia="仿宋_GB2312"/>
          <w:color w:val="auto"/>
          <w:highlight w:val="none"/>
          <w:lang w:eastAsia="zh-CN"/>
        </w:rPr>
        <w:t>“</w:t>
      </w:r>
      <w:r>
        <w:rPr>
          <w:rFonts w:hint="eastAsia" w:eastAsia="仿宋_GB2312"/>
          <w:color w:val="auto"/>
          <w:highlight w:val="none"/>
        </w:rPr>
        <w:t>农产品质量安全示范县</w:t>
      </w:r>
      <w:r>
        <w:rPr>
          <w:rFonts w:hint="eastAsia" w:eastAsia="仿宋_GB2312"/>
          <w:color w:val="auto"/>
          <w:highlight w:val="none"/>
          <w:lang w:eastAsia="zh-CN"/>
        </w:rPr>
        <w:t>”</w:t>
      </w:r>
      <w:r>
        <w:rPr>
          <w:rFonts w:hint="eastAsia" w:eastAsia="仿宋_GB2312"/>
          <w:color w:val="auto"/>
          <w:highlight w:val="none"/>
        </w:rPr>
        <w:t>建设，围绕大樱桃、板栗等特色产业，建设特色农业精品示范基地、冬奥会农产品供应备选基地。引导建筑业企业创建结构优质工程和精品工程，争创</w:t>
      </w:r>
      <w:r>
        <w:rPr>
          <w:rFonts w:hint="eastAsia" w:eastAsia="仿宋_GB2312"/>
          <w:color w:val="auto"/>
          <w:highlight w:val="none"/>
          <w:lang w:eastAsia="zh-CN"/>
        </w:rPr>
        <w:t>“</w:t>
      </w:r>
      <w:r>
        <w:rPr>
          <w:rFonts w:hint="eastAsia" w:eastAsia="仿宋_GB2312"/>
          <w:color w:val="auto"/>
          <w:highlight w:val="none"/>
        </w:rPr>
        <w:t>鲁班奖</w:t>
      </w:r>
      <w:r>
        <w:rPr>
          <w:rFonts w:hint="eastAsia" w:eastAsia="仿宋_GB2312"/>
          <w:color w:val="auto"/>
          <w:highlight w:val="none"/>
          <w:lang w:eastAsia="zh-CN"/>
        </w:rPr>
        <w:t>”“</w:t>
      </w:r>
      <w:r>
        <w:rPr>
          <w:rFonts w:hint="eastAsia" w:eastAsia="仿宋_GB2312"/>
          <w:color w:val="auto"/>
          <w:highlight w:val="none"/>
        </w:rPr>
        <w:t>大禹奖</w:t>
      </w:r>
      <w:r>
        <w:rPr>
          <w:rFonts w:hint="eastAsia" w:eastAsia="仿宋_GB2312"/>
          <w:color w:val="auto"/>
          <w:highlight w:val="none"/>
          <w:lang w:eastAsia="zh-CN"/>
        </w:rPr>
        <w:t>”</w:t>
      </w:r>
      <w:r>
        <w:rPr>
          <w:rFonts w:hint="eastAsia" w:eastAsia="仿宋_GB2312"/>
          <w:color w:val="auto"/>
          <w:highlight w:val="none"/>
        </w:rPr>
        <w:t>。完善建筑节能、绿色建筑标准，全面提高星级绿色建筑、装配式建筑比例，提高绿色建材应用率。实施旅游标准化示范工程，推进公共文化服务标准化、均等化。大力倡导卓越的质量理念，深化培育质量标杆，积极推广</w:t>
      </w:r>
      <w:r>
        <w:rPr>
          <w:rFonts w:hint="eastAsia" w:eastAsia="仿宋_GB2312"/>
          <w:color w:val="auto"/>
          <w:highlight w:val="none"/>
          <w:lang w:eastAsia="zh-CN"/>
        </w:rPr>
        <w:t>“</w:t>
      </w:r>
      <w:r>
        <w:rPr>
          <w:rFonts w:hint="eastAsia" w:eastAsia="仿宋_GB2312"/>
          <w:color w:val="auto"/>
          <w:highlight w:val="none"/>
        </w:rPr>
        <w:t>质量诊所</w:t>
      </w:r>
      <w:r>
        <w:rPr>
          <w:rFonts w:hint="eastAsia" w:eastAsia="仿宋_GB2312"/>
          <w:color w:val="auto"/>
          <w:highlight w:val="none"/>
          <w:lang w:eastAsia="zh-CN"/>
        </w:rPr>
        <w:t>”</w:t>
      </w:r>
      <w:r>
        <w:rPr>
          <w:rFonts w:hint="eastAsia" w:eastAsia="仿宋_GB2312"/>
          <w:color w:val="auto"/>
          <w:highlight w:val="none"/>
        </w:rPr>
        <w:t>管理模式，推进实施企业首席质量官制度，以高标准高质量引领产业迈向中高端。</w:t>
      </w:r>
    </w:p>
    <w:p w14:paraId="0E95FCA9">
      <w:pPr>
        <w:spacing w:line="560" w:lineRule="exact"/>
        <w:ind w:firstLine="640" w:firstLineChars="200"/>
        <w:outlineLvl w:val="2"/>
        <w:rPr>
          <w:b w:val="0"/>
          <w:bCs w:val="0"/>
          <w:color w:val="auto"/>
          <w:highlight w:val="none"/>
        </w:rPr>
      </w:pPr>
      <w:bookmarkStart w:id="211" w:name="_Toc15679"/>
      <w:bookmarkStart w:id="212" w:name="_Toc24433"/>
      <w:r>
        <w:rPr>
          <w:rFonts w:hint="eastAsia"/>
          <w:b w:val="0"/>
          <w:bCs w:val="0"/>
          <w:color w:val="auto"/>
          <w:highlight w:val="none"/>
        </w:rPr>
        <w:t>（三）培树秦皇岛品牌</w:t>
      </w:r>
      <w:bookmarkEnd w:id="211"/>
      <w:bookmarkEnd w:id="212"/>
    </w:p>
    <w:p w14:paraId="6BA44CE9">
      <w:pPr>
        <w:spacing w:line="560" w:lineRule="exact"/>
        <w:ind w:firstLine="640" w:firstLineChars="200"/>
        <w:rPr>
          <w:rFonts w:hint="eastAsia" w:eastAsia="仿宋_GB2312"/>
          <w:color w:val="auto"/>
          <w:highlight w:val="none"/>
        </w:rPr>
      </w:pPr>
      <w:r>
        <w:rPr>
          <w:rFonts w:hint="eastAsia" w:eastAsia="仿宋_GB2312"/>
          <w:color w:val="auto"/>
          <w:highlight w:val="none"/>
        </w:rPr>
        <w:t>积极探索企业品牌、产品品牌、区域品牌、中华老字号、地理标志保护产品等品牌统一培育管理新模式。壮大中铁山桥、中信戴卡、骊骅淀粉、中粮华夏等民族企业和知名品牌，争创中国质量奖、省和市政府质量奖。推进品牌农业建设，巩固昌黎葡萄中国特色农产品优势区地位，</w:t>
      </w:r>
      <w:r>
        <w:rPr>
          <w:rFonts w:hint="eastAsia" w:eastAsia="仿宋_GB2312"/>
          <w:color w:val="auto"/>
          <w:highlight w:val="none"/>
          <w:lang w:eastAsia="zh-CN"/>
        </w:rPr>
        <w:t>积极争取</w:t>
      </w:r>
      <w:r>
        <w:rPr>
          <w:rFonts w:hint="eastAsia" w:eastAsia="仿宋_GB2312"/>
          <w:color w:val="auto"/>
          <w:highlight w:val="none"/>
        </w:rPr>
        <w:t>昌黎旱黄瓜、卢龙甘薯、山海关大樱桃、青龙北苍术、昌黎海参等省级特色农产品优势区</w:t>
      </w:r>
      <w:r>
        <w:rPr>
          <w:rFonts w:hint="eastAsia" w:eastAsia="仿宋_GB2312"/>
          <w:color w:val="auto"/>
          <w:highlight w:val="none"/>
          <w:lang w:eastAsia="zh-CN"/>
        </w:rPr>
        <w:t>申报</w:t>
      </w:r>
      <w:r>
        <w:rPr>
          <w:rFonts w:hint="eastAsia" w:eastAsia="仿宋_GB2312"/>
          <w:color w:val="auto"/>
          <w:highlight w:val="none"/>
        </w:rPr>
        <w:t>国家级特色农产品优势区。推进服务业品牌建设，加大文化旅游、商贸物流、公共服务等领域品牌力度。强化商标、地理标志等品牌的管理保护，加快商标品牌化进程。加强品牌推广宣介，完善质量信用分级分类管理制度</w:t>
      </w:r>
      <w:r>
        <w:rPr>
          <w:rFonts w:hint="eastAsia" w:eastAsia="仿宋_GB2312"/>
          <w:color w:val="auto"/>
          <w:highlight w:val="none"/>
          <w:lang w:eastAsia="zh-CN"/>
        </w:rPr>
        <w:t>，</w:t>
      </w:r>
      <w:r>
        <w:rPr>
          <w:rFonts w:hint="eastAsia" w:eastAsia="仿宋_GB2312"/>
          <w:color w:val="auto"/>
          <w:highlight w:val="none"/>
        </w:rPr>
        <w:t>不断提升秦皇岛品牌知名度、美誉度、影响力。</w:t>
      </w:r>
    </w:p>
    <w:p w14:paraId="380C374D">
      <w:pPr>
        <w:pStyle w:val="23"/>
        <w:rPr>
          <w:color w:val="auto"/>
          <w:highlight w:val="none"/>
        </w:rPr>
      </w:pPr>
    </w:p>
    <w:p w14:paraId="1B1623AC">
      <w:pPr>
        <w:pStyle w:val="37"/>
        <w:keepNext/>
        <w:keepLines/>
        <w:pageBreakBefore w:val="0"/>
        <w:widowControl w:val="0"/>
        <w:kinsoku/>
        <w:wordWrap/>
        <w:overflowPunct/>
        <w:topLinePunct w:val="0"/>
        <w:autoSpaceDE/>
        <w:autoSpaceDN/>
        <w:bidi w:val="0"/>
        <w:adjustRightInd/>
        <w:snapToGrid/>
        <w:spacing w:before="312" w:beforeLines="100" w:after="313" w:afterLines="100" w:line="560" w:lineRule="exact"/>
        <w:textAlignment w:val="auto"/>
        <w:outlineLvl w:val="0"/>
        <w:rPr>
          <w:rFonts w:ascii="Times New Roman" w:hAnsi="Times New Roman"/>
          <w:b w:val="0"/>
          <w:color w:val="auto"/>
          <w:sz w:val="36"/>
          <w:szCs w:val="36"/>
          <w:highlight w:val="none"/>
        </w:rPr>
      </w:pPr>
      <w:bookmarkStart w:id="213" w:name="_Toc14765"/>
      <w:r>
        <w:rPr>
          <w:rFonts w:hint="eastAsia" w:ascii="Times New Roman" w:hAnsi="Times New Roman"/>
          <w:color w:val="auto"/>
          <w:sz w:val="36"/>
          <w:szCs w:val="36"/>
          <w:highlight w:val="none"/>
        </w:rPr>
        <w:t>第</w:t>
      </w:r>
      <w:r>
        <w:rPr>
          <w:rFonts w:hint="eastAsia" w:ascii="Times New Roman" w:hAnsi="Times New Roman"/>
          <w:color w:val="auto"/>
          <w:sz w:val="36"/>
          <w:szCs w:val="36"/>
          <w:highlight w:val="none"/>
          <w:lang w:eastAsia="zh-CN"/>
        </w:rPr>
        <w:t>四</w:t>
      </w:r>
      <w:r>
        <w:rPr>
          <w:rFonts w:hint="eastAsia" w:ascii="Times New Roman" w:hAnsi="Times New Roman"/>
          <w:color w:val="auto"/>
          <w:sz w:val="36"/>
          <w:szCs w:val="36"/>
          <w:highlight w:val="none"/>
        </w:rPr>
        <w:t>章</w:t>
      </w:r>
      <w:r>
        <w:rPr>
          <w:rFonts w:ascii="Times New Roman" w:hAnsi="Times New Roman"/>
          <w:color w:val="auto"/>
          <w:sz w:val="36"/>
          <w:szCs w:val="36"/>
          <w:highlight w:val="none"/>
        </w:rPr>
        <w:t xml:space="preserve"> </w:t>
      </w:r>
      <w:r>
        <w:rPr>
          <w:rFonts w:hint="eastAsia" w:ascii="Times New Roman" w:hAnsi="Times New Roman"/>
          <w:color w:val="auto"/>
          <w:sz w:val="36"/>
          <w:szCs w:val="36"/>
          <w:highlight w:val="none"/>
          <w:lang w:eastAsia="zh-CN"/>
        </w:rPr>
        <w:t>实施扩大内需战略</w:t>
      </w:r>
      <w:r>
        <w:rPr>
          <w:rFonts w:hint="eastAsia" w:ascii="Times New Roman" w:hAnsi="Times New Roman"/>
          <w:color w:val="auto"/>
          <w:sz w:val="36"/>
          <w:szCs w:val="36"/>
          <w:highlight w:val="none"/>
        </w:rPr>
        <w:t>，积极融入新发展格局</w:t>
      </w:r>
      <w:bookmarkEnd w:id="213"/>
    </w:p>
    <w:p w14:paraId="40C888C7">
      <w:pPr>
        <w:spacing w:line="560" w:lineRule="exact"/>
        <w:ind w:firstLine="640" w:firstLineChars="200"/>
        <w:rPr>
          <w:rFonts w:eastAsia="仿宋_GB2312"/>
          <w:color w:val="auto"/>
          <w:highlight w:val="none"/>
        </w:rPr>
      </w:pPr>
      <w:r>
        <w:rPr>
          <w:rFonts w:hint="eastAsia" w:eastAsia="仿宋_GB2312"/>
          <w:color w:val="auto"/>
          <w:highlight w:val="none"/>
        </w:rPr>
        <w:t>坚持扩大内需战略基点，把发展经济着力点放在实体经济上，积极融入以国内大循环为主体、国内国际双循环相互促进的新发展格局，深化供给侧结构性改革，积极扩大有效投资，打造区域消费中心城市，推动供需协同发力、经济良性循环。</w:t>
      </w:r>
    </w:p>
    <w:p w14:paraId="4021222A">
      <w:pPr>
        <w:spacing w:line="560" w:lineRule="exact"/>
        <w:ind w:firstLine="646"/>
        <w:outlineLvl w:val="1"/>
        <w:rPr>
          <w:rFonts w:eastAsia="黑体"/>
          <w:color w:val="auto"/>
          <w:highlight w:val="none"/>
        </w:rPr>
      </w:pPr>
      <w:bookmarkStart w:id="214" w:name="_Toc19042"/>
      <w:bookmarkStart w:id="215" w:name="_Toc27109"/>
      <w:bookmarkStart w:id="216" w:name="_Toc25445"/>
      <w:r>
        <w:rPr>
          <w:rFonts w:hint="eastAsia" w:eastAsia="黑体"/>
          <w:color w:val="auto"/>
          <w:highlight w:val="none"/>
        </w:rPr>
        <w:t>一、</w:t>
      </w:r>
      <w:r>
        <w:rPr>
          <w:rFonts w:hint="eastAsia" w:eastAsia="黑体"/>
          <w:color w:val="auto"/>
          <w:highlight w:val="none"/>
          <w:lang w:eastAsia="zh-CN"/>
        </w:rPr>
        <w:t>积极扩大精准有效</w:t>
      </w:r>
      <w:r>
        <w:rPr>
          <w:rFonts w:hint="eastAsia" w:eastAsia="黑体"/>
          <w:color w:val="auto"/>
          <w:highlight w:val="none"/>
        </w:rPr>
        <w:t>投资</w:t>
      </w:r>
      <w:bookmarkEnd w:id="214"/>
      <w:bookmarkEnd w:id="215"/>
      <w:bookmarkEnd w:id="216"/>
      <w:r>
        <w:rPr>
          <w:rFonts w:eastAsia="黑体"/>
          <w:color w:val="auto"/>
          <w:highlight w:val="none"/>
        </w:rPr>
        <w:tab/>
      </w:r>
    </w:p>
    <w:p w14:paraId="01C36366">
      <w:pPr>
        <w:spacing w:line="560" w:lineRule="exact"/>
        <w:ind w:firstLine="640" w:firstLineChars="200"/>
        <w:rPr>
          <w:rFonts w:eastAsia="仿宋_GB2312"/>
          <w:color w:val="auto"/>
          <w:highlight w:val="none"/>
        </w:rPr>
      </w:pPr>
      <w:bookmarkStart w:id="217" w:name="_Toc22479"/>
      <w:r>
        <w:rPr>
          <w:rFonts w:hint="eastAsia" w:eastAsia="仿宋_GB2312"/>
          <w:color w:val="auto"/>
          <w:highlight w:val="none"/>
        </w:rPr>
        <w:t>发挥投资对优化供给结构的关键作用，深入挖掘投资需求潜力，拓展投资空间、优化投资结构、提高投资质量，更好地推动经济高质量发展。</w:t>
      </w:r>
    </w:p>
    <w:p w14:paraId="2D461C9F">
      <w:pPr>
        <w:spacing w:line="560" w:lineRule="exact"/>
        <w:ind w:firstLine="640" w:firstLineChars="200"/>
        <w:outlineLvl w:val="2"/>
        <w:rPr>
          <w:b w:val="0"/>
          <w:bCs w:val="0"/>
          <w:color w:val="auto"/>
          <w:highlight w:val="none"/>
        </w:rPr>
      </w:pPr>
      <w:bookmarkStart w:id="218" w:name="_Toc8805"/>
      <w:bookmarkStart w:id="219" w:name="_Toc24572"/>
      <w:r>
        <w:rPr>
          <w:rFonts w:hint="eastAsia"/>
          <w:b w:val="0"/>
          <w:bCs w:val="0"/>
          <w:color w:val="auto"/>
          <w:highlight w:val="none"/>
        </w:rPr>
        <w:t>（一）优化产业领域投资</w:t>
      </w:r>
      <w:bookmarkEnd w:id="217"/>
      <w:bookmarkEnd w:id="218"/>
      <w:bookmarkEnd w:id="219"/>
      <w:r>
        <w:rPr>
          <w:b w:val="0"/>
          <w:bCs w:val="0"/>
          <w:color w:val="auto"/>
          <w:highlight w:val="none"/>
        </w:rPr>
        <w:tab/>
      </w:r>
    </w:p>
    <w:p w14:paraId="605901BF">
      <w:pPr>
        <w:spacing w:line="560" w:lineRule="exact"/>
        <w:ind w:firstLine="640" w:firstLineChars="200"/>
        <w:rPr>
          <w:rFonts w:eastAsia="仿宋"/>
          <w:color w:val="auto"/>
          <w:highlight w:val="none"/>
        </w:rPr>
      </w:pPr>
      <w:r>
        <w:rPr>
          <w:rFonts w:hint="eastAsia" w:eastAsia="仿宋_GB2312"/>
          <w:color w:val="auto"/>
          <w:highlight w:val="none"/>
        </w:rPr>
        <w:t>发挥秦皇岛产业门类齐全优势，巩固提高重点产业、重点企业在国内国际市场产业链供应链价值链中的优势地位。以</w:t>
      </w:r>
      <w:r>
        <w:rPr>
          <w:rFonts w:eastAsia="仿宋_GB2312"/>
          <w:color w:val="auto"/>
          <w:highlight w:val="none"/>
        </w:rPr>
        <w:t>532</w:t>
      </w:r>
      <w:r>
        <w:rPr>
          <w:rFonts w:hint="eastAsia" w:eastAsia="仿宋_GB2312"/>
          <w:color w:val="auto"/>
          <w:highlight w:val="none"/>
        </w:rPr>
        <w:t>主导产业和县域特色产业为重点，依托中信戴卡、中铁山桥、哈电重装、金海粮油、安丰钢铁、宏兴钢铁等一批重点龙头企业，按照数字化、网络化、智能化的趋势对全产业链进行优化配置、融合改造，谋划储备一批高端高质项目，以投资结构优化带动制造业转型升级。鼓励现代服务业项目投资，推动生命健康、文体旅游、临港物流、工业设计、文化创意等产业项目加快建设。加大农业领域投入，围绕乡村振兴，加大对高标准农田建设、农业特色优势产业项目投资，大力发展设施农业，推进农业生产标准化，提升现代农业园区能级，促进农村一二三产业融合发展。</w:t>
      </w:r>
    </w:p>
    <w:p w14:paraId="30439469">
      <w:pPr>
        <w:spacing w:line="560" w:lineRule="exact"/>
        <w:ind w:firstLine="640" w:firstLineChars="200"/>
        <w:outlineLvl w:val="2"/>
        <w:rPr>
          <w:b w:val="0"/>
          <w:bCs w:val="0"/>
          <w:color w:val="auto"/>
          <w:highlight w:val="none"/>
        </w:rPr>
      </w:pPr>
      <w:bookmarkStart w:id="220" w:name="_Toc15016"/>
      <w:bookmarkStart w:id="221" w:name="_Toc12380"/>
      <w:bookmarkStart w:id="222" w:name="_Toc24167"/>
      <w:r>
        <w:rPr>
          <w:rFonts w:hint="eastAsia"/>
          <w:b w:val="0"/>
          <w:bCs w:val="0"/>
          <w:color w:val="auto"/>
          <w:highlight w:val="none"/>
        </w:rPr>
        <w:t>（二）加强新型基础设施</w:t>
      </w:r>
      <w:bookmarkEnd w:id="220"/>
      <w:r>
        <w:rPr>
          <w:rFonts w:hint="eastAsia"/>
          <w:b w:val="0"/>
          <w:bCs w:val="0"/>
          <w:color w:val="auto"/>
          <w:highlight w:val="none"/>
        </w:rPr>
        <w:t>建设</w:t>
      </w:r>
      <w:bookmarkEnd w:id="221"/>
      <w:bookmarkEnd w:id="222"/>
    </w:p>
    <w:p w14:paraId="07205812">
      <w:pPr>
        <w:spacing w:line="560" w:lineRule="exact"/>
        <w:ind w:firstLine="640" w:firstLineChars="200"/>
        <w:rPr>
          <w:rFonts w:eastAsia="仿宋_GB2312"/>
          <w:color w:val="auto"/>
          <w:highlight w:val="none"/>
        </w:rPr>
      </w:pPr>
      <w:r>
        <w:rPr>
          <w:rFonts w:hint="eastAsia" w:eastAsia="仿宋_GB2312"/>
          <w:color w:val="auto"/>
          <w:highlight w:val="none"/>
        </w:rPr>
        <w:t>加快信息基础设施建设。加大通信网络基础设施建设力度，全面开展</w:t>
      </w:r>
      <w:r>
        <w:rPr>
          <w:rFonts w:eastAsia="仿宋_GB2312"/>
          <w:color w:val="auto"/>
          <w:highlight w:val="none"/>
        </w:rPr>
        <w:t>5G</w:t>
      </w:r>
      <w:r>
        <w:rPr>
          <w:rFonts w:hint="eastAsia" w:eastAsia="仿宋_GB2312"/>
          <w:color w:val="auto"/>
          <w:highlight w:val="none"/>
        </w:rPr>
        <w:t>网络、千兆光纤网络建设，打造</w:t>
      </w:r>
      <w:r>
        <w:rPr>
          <w:rFonts w:hint="eastAsia" w:eastAsia="仿宋_GB2312"/>
          <w:color w:val="auto"/>
          <w:highlight w:val="none"/>
          <w:lang w:eastAsia="zh-CN"/>
        </w:rPr>
        <w:t>“</w:t>
      </w:r>
      <w:r>
        <w:rPr>
          <w:rFonts w:hint="eastAsia" w:eastAsia="仿宋_GB2312"/>
          <w:color w:val="auto"/>
          <w:highlight w:val="none"/>
        </w:rPr>
        <w:t>双千兆城市</w:t>
      </w:r>
      <w:r>
        <w:rPr>
          <w:rFonts w:hint="eastAsia" w:eastAsia="仿宋_GB2312"/>
          <w:color w:val="auto"/>
          <w:highlight w:val="none"/>
          <w:lang w:eastAsia="zh-CN"/>
        </w:rPr>
        <w:t>”</w:t>
      </w:r>
      <w:r>
        <w:rPr>
          <w:rFonts w:hint="eastAsia" w:eastAsia="仿宋_GB2312"/>
          <w:color w:val="auto"/>
          <w:highlight w:val="none"/>
        </w:rPr>
        <w:t>；加快推进专用网络、北斗卫星地基增强系统、物联网基础设施建设。推进算力基础设施建设，以数据中心为基础支撑，加快构建</w:t>
      </w:r>
      <w:r>
        <w:rPr>
          <w:rFonts w:hint="eastAsia" w:eastAsia="仿宋_GB2312"/>
          <w:color w:val="auto"/>
          <w:highlight w:val="none"/>
          <w:lang w:eastAsia="zh-CN"/>
        </w:rPr>
        <w:t>“</w:t>
      </w:r>
      <w:r>
        <w:rPr>
          <w:rFonts w:hint="eastAsia" w:eastAsia="仿宋_GB2312"/>
          <w:color w:val="auto"/>
          <w:highlight w:val="none"/>
        </w:rPr>
        <w:t>边缘计算＋智算＋超算</w:t>
      </w:r>
      <w:r>
        <w:rPr>
          <w:rFonts w:hint="eastAsia" w:eastAsia="仿宋_GB2312"/>
          <w:color w:val="auto"/>
          <w:highlight w:val="none"/>
          <w:lang w:eastAsia="zh-CN"/>
        </w:rPr>
        <w:t>”</w:t>
      </w:r>
      <w:r>
        <w:rPr>
          <w:rFonts w:hint="eastAsia" w:eastAsia="仿宋_GB2312"/>
          <w:color w:val="auto"/>
          <w:highlight w:val="none"/>
        </w:rPr>
        <w:t>多元协同、数智融合的算力体系，为经济社会发展提供充足的算力资源。规划布局数字技术基础设施建设，加快推广</w:t>
      </w:r>
      <w:r>
        <w:rPr>
          <w:rFonts w:hint="eastAsia" w:eastAsia="仿宋_GB2312"/>
          <w:color w:val="auto"/>
          <w:highlight w:val="none"/>
          <w:lang w:eastAsia="zh-CN"/>
        </w:rPr>
        <w:t>“</w:t>
      </w:r>
      <w:r>
        <w:rPr>
          <w:rFonts w:hint="eastAsia" w:eastAsia="仿宋_GB2312"/>
          <w:color w:val="auto"/>
          <w:highlight w:val="none"/>
        </w:rPr>
        <w:t>上云用数赋智</w:t>
      </w:r>
      <w:r>
        <w:rPr>
          <w:rFonts w:hint="eastAsia" w:eastAsia="仿宋_GB2312"/>
          <w:color w:val="auto"/>
          <w:highlight w:val="none"/>
          <w:lang w:eastAsia="zh-CN"/>
        </w:rPr>
        <w:t>”</w:t>
      </w:r>
      <w:r>
        <w:rPr>
          <w:rFonts w:hint="eastAsia" w:eastAsia="仿宋_GB2312"/>
          <w:color w:val="auto"/>
          <w:highlight w:val="none"/>
        </w:rPr>
        <w:t>，积极发展安全可靠、弹性便捷的政务云、行业云平台及解决方案，全面提升中小企业和传统企业上云率。</w:t>
      </w:r>
    </w:p>
    <w:p w14:paraId="03DE425B">
      <w:pPr>
        <w:spacing w:line="560" w:lineRule="exact"/>
        <w:ind w:firstLine="640" w:firstLineChars="200"/>
        <w:rPr>
          <w:rFonts w:eastAsia="仿宋_GB2312"/>
          <w:color w:val="auto"/>
          <w:highlight w:val="none"/>
        </w:rPr>
      </w:pPr>
      <w:r>
        <w:rPr>
          <w:rFonts w:hint="eastAsia" w:eastAsia="仿宋_GB2312"/>
          <w:color w:val="auto"/>
          <w:highlight w:val="none"/>
        </w:rPr>
        <w:t>全面升级融合基础设施。深度应用数字化、网络化、智能化技术，加速传统基础设施信息化、智能化、网络化升级。全力建设智能制造基础设施，以工业互联网网络、节点和平台建设为核心，推进工业互联网与制造业深度融合创新。加快布局智能交通基础设施，推动道路、港口、机场、口岸等交通设施及运载工具智能化升级，加快构建智能化、网络化现代交通体系。以千兆政法网基础建设为支撑，加快推进以智慧综治、智慧法院、智慧检务、智慧公安和智慧法律服务为中心的智慧政法建设。高效推进智慧市政基础设施建设，推广智慧水务、智慧燃气、智慧环保、智慧安防等新型智慧城市公共服务领域物联网应用，加快建设统一、高效、智能、可信的城市大数据基础平台，打造数字政府。</w:t>
      </w:r>
    </w:p>
    <w:tbl>
      <w:tblPr>
        <w:tblStyle w:val="17"/>
        <w:tblpPr w:leftFromText="180" w:rightFromText="180" w:vertAnchor="text" w:horzAnchor="page" w:tblpX="1760" w:tblpY="50"/>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1E22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000" w:type="dxa"/>
          </w:tcPr>
          <w:p w14:paraId="0CAA2698">
            <w:pPr>
              <w:spacing w:line="360" w:lineRule="exact"/>
              <w:jc w:val="center"/>
              <w:rPr>
                <w:color w:val="auto"/>
                <w:sz w:val="24"/>
                <w:szCs w:val="24"/>
                <w:highlight w:val="none"/>
              </w:rPr>
            </w:pPr>
            <w:r>
              <w:rPr>
                <w:rFonts w:hint="eastAsia" w:eastAsia="黑体"/>
                <w:color w:val="auto"/>
                <w:sz w:val="24"/>
                <w:szCs w:val="24"/>
                <w:highlight w:val="none"/>
              </w:rPr>
              <w:t>专栏</w:t>
            </w:r>
            <w:r>
              <w:rPr>
                <w:rFonts w:hint="eastAsia" w:eastAsia="黑体"/>
                <w:color w:val="auto"/>
                <w:sz w:val="24"/>
                <w:szCs w:val="24"/>
                <w:highlight w:val="none"/>
                <w:lang w:val="en-US" w:eastAsia="zh-CN"/>
              </w:rPr>
              <w:t>3</w:t>
            </w:r>
            <w:r>
              <w:rPr>
                <w:rFonts w:hint="eastAsia" w:eastAsia="黑体"/>
                <w:color w:val="auto"/>
                <w:sz w:val="24"/>
                <w:szCs w:val="24"/>
                <w:highlight w:val="none"/>
              </w:rPr>
              <w:t>：新型基础设施建设</w:t>
            </w:r>
          </w:p>
        </w:tc>
      </w:tr>
      <w:tr w14:paraId="1913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9000" w:type="dxa"/>
          </w:tcPr>
          <w:p w14:paraId="66ABAF7B">
            <w:pPr>
              <w:pStyle w:val="35"/>
              <w:spacing w:line="320" w:lineRule="exact"/>
              <w:ind w:firstLine="422" w:firstLineChars="200"/>
              <w:rPr>
                <w:rFonts w:ascii="Times New Roman" w:hAnsi="Times New Roman" w:eastAsia="宋体"/>
                <w:color w:val="auto"/>
                <w:highlight w:val="none"/>
              </w:rPr>
            </w:pPr>
            <w:r>
              <w:rPr>
                <w:rFonts w:hint="eastAsia" w:ascii="Times New Roman" w:hAnsi="Times New Roman" w:eastAsia="宋体"/>
                <w:b/>
                <w:bCs/>
                <w:color w:val="auto"/>
                <w:sz w:val="21"/>
                <w:highlight w:val="none"/>
              </w:rPr>
              <w:t>重点建设项目。</w:t>
            </w:r>
            <w:r>
              <w:rPr>
                <w:rFonts w:ascii="Times New Roman" w:hAnsi="Times New Roman" w:eastAsia="宋体"/>
                <w:bCs/>
                <w:color w:val="auto"/>
                <w:sz w:val="21"/>
                <w:highlight w:val="none"/>
              </w:rPr>
              <w:t>5G</w:t>
            </w:r>
            <w:r>
              <w:rPr>
                <w:rFonts w:hint="eastAsia" w:ascii="Times New Roman" w:hAnsi="Times New Roman" w:eastAsia="宋体"/>
                <w:bCs/>
                <w:color w:val="auto"/>
                <w:sz w:val="21"/>
                <w:highlight w:val="none"/>
              </w:rPr>
              <w:t>基站建设、北戴河大数据产业园、北戴河区省级智慧城市试点建设、河北数微智慧社区服务、秦皇岛市</w:t>
            </w:r>
            <w:r>
              <w:rPr>
                <w:rFonts w:ascii="Times New Roman" w:hAnsi="Times New Roman" w:eastAsia="宋体"/>
                <w:bCs/>
                <w:color w:val="auto"/>
                <w:sz w:val="21"/>
                <w:highlight w:val="none"/>
              </w:rPr>
              <w:t>5G+</w:t>
            </w:r>
            <w:r>
              <w:rPr>
                <w:rFonts w:hint="eastAsia" w:ascii="Times New Roman" w:hAnsi="Times New Roman" w:eastAsia="宋体"/>
                <w:bCs/>
                <w:color w:val="auto"/>
                <w:sz w:val="21"/>
                <w:highlight w:val="none"/>
              </w:rPr>
              <w:t>智慧消防、</w:t>
            </w:r>
            <w:r>
              <w:rPr>
                <w:rFonts w:hint="eastAsia" w:ascii="Times New Roman" w:hAnsi="Times New Roman" w:eastAsia="宋体"/>
                <w:bCs/>
                <w:color w:val="auto"/>
                <w:sz w:val="21"/>
                <w:highlight w:val="none"/>
                <w:lang w:eastAsia="zh-CN"/>
              </w:rPr>
              <w:t>“</w:t>
            </w:r>
            <w:r>
              <w:rPr>
                <w:rFonts w:hint="eastAsia" w:ascii="Times New Roman" w:hAnsi="Times New Roman" w:eastAsia="宋体"/>
                <w:bCs/>
                <w:color w:val="auto"/>
                <w:sz w:val="21"/>
                <w:highlight w:val="none"/>
              </w:rPr>
              <w:t>秦融</w:t>
            </w:r>
            <w:r>
              <w:rPr>
                <w:rFonts w:hint="eastAsia" w:ascii="Times New Roman" w:hAnsi="Times New Roman" w:eastAsia="宋体"/>
                <w:bCs/>
                <w:color w:val="auto"/>
                <w:sz w:val="21"/>
                <w:highlight w:val="none"/>
                <w:lang w:eastAsia="zh-CN"/>
              </w:rPr>
              <w:t>”</w:t>
            </w:r>
            <w:r>
              <w:rPr>
                <w:rFonts w:hint="eastAsia" w:ascii="Times New Roman" w:hAnsi="Times New Roman" w:eastAsia="宋体"/>
                <w:bCs/>
                <w:color w:val="auto"/>
                <w:sz w:val="21"/>
                <w:highlight w:val="none"/>
              </w:rPr>
              <w:t>全媒体全流程全方位智慧化新闻中心、河北晟融</w:t>
            </w:r>
            <w:r>
              <w:rPr>
                <w:rFonts w:hint="eastAsia" w:ascii="Times New Roman" w:hAnsi="Times New Roman" w:eastAsia="宋体"/>
                <w:bCs/>
                <w:color w:val="auto"/>
                <w:sz w:val="21"/>
                <w:highlight w:val="none"/>
                <w:lang w:eastAsia="zh-CN"/>
              </w:rPr>
              <w:t>“</w:t>
            </w:r>
            <w:r>
              <w:rPr>
                <w:rFonts w:hint="eastAsia" w:ascii="Times New Roman" w:hAnsi="Times New Roman" w:eastAsia="宋体"/>
                <w:bCs/>
                <w:color w:val="auto"/>
                <w:sz w:val="21"/>
                <w:highlight w:val="none"/>
              </w:rPr>
              <w:t>幸福秦皇岛</w:t>
            </w:r>
            <w:r>
              <w:rPr>
                <w:rFonts w:hint="eastAsia" w:ascii="Times New Roman" w:hAnsi="Times New Roman" w:eastAsia="宋体"/>
                <w:bCs/>
                <w:color w:val="auto"/>
                <w:sz w:val="21"/>
                <w:highlight w:val="none"/>
                <w:lang w:eastAsia="zh-CN"/>
              </w:rPr>
              <w:t>”</w:t>
            </w:r>
            <w:r>
              <w:rPr>
                <w:rFonts w:hint="eastAsia" w:ascii="Times New Roman" w:hAnsi="Times New Roman" w:eastAsia="宋体"/>
                <w:bCs/>
                <w:color w:val="auto"/>
                <w:sz w:val="21"/>
                <w:highlight w:val="none"/>
              </w:rPr>
              <w:t>工程、</w:t>
            </w:r>
            <w:r>
              <w:rPr>
                <w:rFonts w:hint="eastAsia" w:ascii="Times New Roman" w:hAnsi="Times New Roman" w:eastAsia="宋体"/>
                <w:bCs/>
                <w:color w:val="auto"/>
                <w:sz w:val="21"/>
                <w:highlight w:val="none"/>
                <w:lang w:eastAsia="zh-CN"/>
              </w:rPr>
              <w:t>青龙满族自治县</w:t>
            </w:r>
            <w:r>
              <w:rPr>
                <w:rFonts w:hint="eastAsia" w:ascii="Times New Roman" w:hAnsi="Times New Roman" w:eastAsia="宋体"/>
                <w:bCs/>
                <w:color w:val="auto"/>
                <w:sz w:val="21"/>
                <w:highlight w:val="none"/>
              </w:rPr>
              <w:t>平安青龙暨智慧交管。</w:t>
            </w:r>
          </w:p>
        </w:tc>
      </w:tr>
    </w:tbl>
    <w:p w14:paraId="78F2763B">
      <w:pPr>
        <w:spacing w:line="560" w:lineRule="exact"/>
        <w:ind w:firstLine="640" w:firstLineChars="200"/>
        <w:outlineLvl w:val="2"/>
        <w:rPr>
          <w:b w:val="0"/>
          <w:bCs w:val="0"/>
          <w:color w:val="auto"/>
          <w:highlight w:val="none"/>
        </w:rPr>
      </w:pPr>
      <w:bookmarkStart w:id="223" w:name="_Toc7959"/>
      <w:bookmarkStart w:id="224" w:name="_Toc26432"/>
      <w:bookmarkStart w:id="225" w:name="_Toc14725"/>
      <w:r>
        <w:rPr>
          <w:rFonts w:hint="eastAsia"/>
          <w:b w:val="0"/>
          <w:bCs w:val="0"/>
          <w:color w:val="auto"/>
          <w:highlight w:val="none"/>
        </w:rPr>
        <w:t>（三）构建现代综合交通运输体系</w:t>
      </w:r>
      <w:bookmarkEnd w:id="223"/>
      <w:bookmarkEnd w:id="224"/>
      <w:bookmarkEnd w:id="225"/>
    </w:p>
    <w:p w14:paraId="400D5C1E">
      <w:pPr>
        <w:spacing w:line="560" w:lineRule="exact"/>
        <w:ind w:firstLine="640" w:firstLineChars="200"/>
        <w:rPr>
          <w:rFonts w:eastAsia="仿宋_GB2312"/>
          <w:color w:val="auto"/>
          <w:highlight w:val="none"/>
        </w:rPr>
      </w:pPr>
      <w:r>
        <w:rPr>
          <w:rFonts w:hint="eastAsia" w:eastAsia="仿宋_GB2312"/>
          <w:color w:val="auto"/>
          <w:highlight w:val="none"/>
        </w:rPr>
        <w:t>大力发展轨道交通。协调国家铁路集团有限公司，加大高峰时段（旅游旺季）运力供给，借力津秦客专和京唐城际铁路，支撑与京津地区间大运量、高频次的出行需求，加快融入京津</w:t>
      </w:r>
      <w:r>
        <w:rPr>
          <w:rFonts w:eastAsia="仿宋_GB2312"/>
          <w:color w:val="auto"/>
          <w:highlight w:val="none"/>
        </w:rPr>
        <w:t>1</w:t>
      </w:r>
      <w:r>
        <w:rPr>
          <w:rFonts w:hint="eastAsia" w:eastAsia="仿宋_GB2312"/>
          <w:color w:val="auto"/>
          <w:highlight w:val="none"/>
        </w:rPr>
        <w:t>小时通行圈；强化秦皇岛和石家庄、邯郸等省内城市以及与西北地区、西南地区、华中地区、东南沿海地区等重点城市之间的铁路交通联系。加快环渤海城际铁路、承秦铁路前期工作，构建秦皇岛联系山东半岛、辽东半岛、承德及内蒙地区的铁路新通道。积极推进迁青铁路、昌港铁路、地方铁路北延伸、昌黎钢铁企业铁路专用线、秦皇岛粮油食品加工产业园铁路专用线等项目建设，满足区域经济产业发展需求。谋划发展区域组团间大运量交通系统，实现城市组团间高效便捷通达。</w:t>
      </w:r>
    </w:p>
    <w:p w14:paraId="4A9AD2C6">
      <w:pPr>
        <w:spacing w:line="560" w:lineRule="exact"/>
        <w:ind w:firstLine="640" w:firstLineChars="200"/>
        <w:rPr>
          <w:rFonts w:eastAsia="仿宋_GB2312"/>
          <w:color w:val="auto"/>
          <w:highlight w:val="none"/>
        </w:rPr>
      </w:pPr>
      <w:r>
        <w:rPr>
          <w:rFonts w:hint="eastAsia" w:eastAsia="仿宋_GB2312"/>
          <w:color w:val="auto"/>
          <w:highlight w:val="none"/>
        </w:rPr>
        <w:t>打造现代公路交通体系。完善高速公路网络，优化提升既有高速公路繁忙路段承载能力；着眼提升高速公路网络便捷性，打造更大范围出海口，重点加强内外互联互通，推进实施京秦高速主线及北戴河新区支线、秦唐高速公路秦皇岛段项目建设，结合沈阳</w:t>
      </w:r>
      <w:r>
        <w:rPr>
          <w:rFonts w:hint="eastAsia" w:eastAsia="仿宋_GB2312"/>
          <w:color w:val="auto"/>
          <w:highlight w:val="none"/>
          <w:lang w:eastAsia="zh-CN"/>
        </w:rPr>
        <w:t>—</w:t>
      </w:r>
      <w:r>
        <w:rPr>
          <w:rFonts w:hint="eastAsia" w:eastAsia="仿宋_GB2312"/>
          <w:color w:val="auto"/>
          <w:highlight w:val="none"/>
        </w:rPr>
        <w:t>秦皇岛高速规划研究，谋划京秦高速公路北戴河新区支线北延项目。优化普通干线网络，打通省际、市际、县际瓶颈路、断头路，构建畅通的普通干线主骨架网络；针对秦皇岛中心城区、北戴河区、抚宁区、昌黎县等区域，着眼于全市、全省发展大局，谋划普通干线公路货运通道、绕城通道等；打造一批现代化、生态型长城旅游公路，实现高速公路、国省干线</w:t>
      </w:r>
      <w:r>
        <w:rPr>
          <w:rFonts w:hint="eastAsia" w:eastAsia="仿宋_GB2312"/>
          <w:color w:val="auto"/>
          <w:highlight w:val="none"/>
          <w:lang w:eastAsia="zh-CN"/>
        </w:rPr>
        <w:t>“</w:t>
      </w:r>
      <w:r>
        <w:rPr>
          <w:rFonts w:hint="eastAsia" w:eastAsia="仿宋_GB2312"/>
          <w:color w:val="auto"/>
          <w:highlight w:val="none"/>
        </w:rPr>
        <w:t>外部交通</w:t>
      </w:r>
      <w:r>
        <w:rPr>
          <w:rFonts w:hint="eastAsia" w:eastAsia="仿宋_GB2312"/>
          <w:color w:val="auto"/>
          <w:highlight w:val="none"/>
          <w:lang w:eastAsia="zh-CN"/>
        </w:rPr>
        <w:t>”</w:t>
      </w:r>
      <w:r>
        <w:rPr>
          <w:rFonts w:hint="eastAsia" w:eastAsia="仿宋_GB2312"/>
          <w:color w:val="auto"/>
          <w:highlight w:val="none"/>
        </w:rPr>
        <w:t>与长城旅游风景</w:t>
      </w:r>
      <w:r>
        <w:rPr>
          <w:rFonts w:hint="eastAsia" w:eastAsia="仿宋_GB2312"/>
          <w:color w:val="auto"/>
          <w:highlight w:val="none"/>
          <w:lang w:eastAsia="zh-CN"/>
        </w:rPr>
        <w:t>“</w:t>
      </w:r>
      <w:r>
        <w:rPr>
          <w:rFonts w:hint="eastAsia" w:eastAsia="仿宋_GB2312"/>
          <w:color w:val="auto"/>
          <w:highlight w:val="none"/>
        </w:rPr>
        <w:t>内部交通</w:t>
      </w:r>
      <w:r>
        <w:rPr>
          <w:rFonts w:hint="eastAsia" w:eastAsia="仿宋_GB2312"/>
          <w:color w:val="auto"/>
          <w:highlight w:val="none"/>
          <w:lang w:eastAsia="zh-CN"/>
        </w:rPr>
        <w:t>”</w:t>
      </w:r>
      <w:r>
        <w:rPr>
          <w:rFonts w:hint="eastAsia" w:eastAsia="仿宋_GB2312"/>
          <w:color w:val="auto"/>
          <w:highlight w:val="none"/>
        </w:rPr>
        <w:t>无缝衔接，建成布局合理、设施完善、功能齐全、风景优美的长城旅游路网。</w:t>
      </w:r>
    </w:p>
    <w:p w14:paraId="736C179C">
      <w:pPr>
        <w:spacing w:line="560" w:lineRule="exact"/>
        <w:ind w:firstLine="640" w:firstLineChars="200"/>
        <w:rPr>
          <w:rFonts w:eastAsia="仿宋_GB2312"/>
          <w:color w:val="auto"/>
          <w:highlight w:val="none"/>
        </w:rPr>
      </w:pPr>
      <w:r>
        <w:rPr>
          <w:rFonts w:hint="eastAsia" w:eastAsia="仿宋_GB2312"/>
          <w:color w:val="auto"/>
          <w:highlight w:val="none"/>
        </w:rPr>
        <w:t>完善港口基础设施建设</w:t>
      </w:r>
      <w:r>
        <w:rPr>
          <w:rFonts w:hint="eastAsia" w:eastAsia="仿宋_GB2312"/>
          <w:color w:val="auto"/>
          <w:highlight w:val="none"/>
          <w:lang w:eastAsia="zh-CN"/>
        </w:rPr>
        <w:t>。</w:t>
      </w:r>
      <w:r>
        <w:rPr>
          <w:rFonts w:hint="eastAsia" w:eastAsia="仿宋_GB2312"/>
          <w:color w:val="auto"/>
          <w:highlight w:val="none"/>
        </w:rPr>
        <w:t>推进秦皇岛港西港区生产运输搬迁腾退工作，科学规划邮轮游艇码头布局，加快适宜邮轮游船游艇停靠的泊位提升改造</w:t>
      </w:r>
      <w:r>
        <w:rPr>
          <w:rFonts w:hint="eastAsia" w:eastAsia="仿宋_GB2312"/>
          <w:color w:val="auto"/>
          <w:highlight w:val="none"/>
          <w:lang w:eastAsia="zh-CN"/>
        </w:rPr>
        <w:t>，积极推进</w:t>
      </w:r>
      <w:r>
        <w:rPr>
          <w:rFonts w:hint="eastAsia" w:eastAsia="仿宋_GB2312"/>
          <w:color w:val="auto"/>
          <w:highlight w:val="none"/>
        </w:rPr>
        <w:t>东港区集装箱、杂货、汽车滚装等货类码头建设</w:t>
      </w:r>
      <w:r>
        <w:rPr>
          <w:rFonts w:hint="eastAsia" w:eastAsia="仿宋_GB2312"/>
          <w:color w:val="auto"/>
          <w:highlight w:val="none"/>
          <w:lang w:eastAsia="zh-CN"/>
        </w:rPr>
        <w:t>。</w:t>
      </w:r>
      <w:r>
        <w:rPr>
          <w:rFonts w:hint="eastAsia" w:eastAsia="仿宋_GB2312"/>
          <w:color w:val="auto"/>
          <w:highlight w:val="none"/>
        </w:rPr>
        <w:t>推进山海关港综合通用码头建设，服务出海口基地建设。探索前移港口功能，在通道城市布局建设内陆港，实现港口与腹地资源高效衔接。</w:t>
      </w:r>
    </w:p>
    <w:p w14:paraId="63512D2B">
      <w:pPr>
        <w:spacing w:line="560" w:lineRule="exact"/>
        <w:ind w:firstLine="640" w:firstLineChars="200"/>
        <w:rPr>
          <w:rFonts w:eastAsia="仿宋_GB2312"/>
          <w:color w:val="auto"/>
          <w:highlight w:val="none"/>
        </w:rPr>
      </w:pPr>
      <w:r>
        <w:rPr>
          <w:rFonts w:hint="eastAsia" w:eastAsia="仿宋_GB2312"/>
          <w:color w:val="auto"/>
          <w:highlight w:val="none"/>
        </w:rPr>
        <w:t>建设现代化航空运输体系。围绕打造京津冀世界级机场群，加快秦皇岛北戴河机场扩建工程建设，力争实现航空口岸正式开放，巩固俄罗斯远东地区、韩国、东南亚航线，拓展日本等主要旅游客源地航线。布局青龙、山海关等通用机场项目，发展航空物流。</w:t>
      </w:r>
    </w:p>
    <w:p w14:paraId="68288A67">
      <w:pPr>
        <w:spacing w:line="560" w:lineRule="exact"/>
        <w:ind w:firstLine="640" w:firstLineChars="200"/>
        <w:rPr>
          <w:rFonts w:eastAsia="仿宋_GB2312"/>
          <w:color w:val="auto"/>
          <w:highlight w:val="none"/>
        </w:rPr>
      </w:pPr>
      <w:r>
        <w:rPr>
          <w:rFonts w:hint="eastAsia" w:eastAsia="仿宋_GB2312"/>
          <w:color w:val="auto"/>
          <w:highlight w:val="none"/>
        </w:rPr>
        <w:t>建设综合交通枢纽场站。围绕打造国家级物流枢纽承载城市，依托铁路重点站、港口、高速公路进出口，加快建设具有多式联运功能的综合货运枢纽（物流园区）。引导规划公路货运站向物流园区转型升级，推动物流业与商贸、制造业联动发展、重点加快秦皇岛综合客运枢纽、昌黎和北戴河旅游客运站、秦皇岛运通物流二期工程、卢龙石门循环经济产业园物流中心、伦泽网络物流供应链等项目建设。</w:t>
      </w:r>
    </w:p>
    <w:tbl>
      <w:tblPr>
        <w:tblStyle w:val="17"/>
        <w:tblpPr w:leftFromText="180" w:rightFromText="180" w:vertAnchor="text" w:horzAnchor="page" w:tblpX="1760" w:tblpY="50"/>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618B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0" w:type="dxa"/>
          </w:tcPr>
          <w:p w14:paraId="654C211F">
            <w:pPr>
              <w:spacing w:line="360" w:lineRule="exact"/>
              <w:jc w:val="center"/>
              <w:rPr>
                <w:color w:val="auto"/>
                <w:sz w:val="24"/>
                <w:szCs w:val="24"/>
                <w:highlight w:val="none"/>
              </w:rPr>
            </w:pPr>
            <w:r>
              <w:rPr>
                <w:rFonts w:hint="eastAsia" w:eastAsia="黑体"/>
                <w:color w:val="auto"/>
                <w:sz w:val="24"/>
                <w:szCs w:val="24"/>
                <w:highlight w:val="none"/>
              </w:rPr>
              <w:t>专栏</w:t>
            </w:r>
            <w:r>
              <w:rPr>
                <w:rFonts w:hint="eastAsia" w:eastAsia="黑体"/>
                <w:color w:val="auto"/>
                <w:sz w:val="24"/>
                <w:szCs w:val="24"/>
                <w:highlight w:val="none"/>
                <w:lang w:val="en-US" w:eastAsia="zh-CN"/>
              </w:rPr>
              <w:t>4</w:t>
            </w:r>
            <w:r>
              <w:rPr>
                <w:rFonts w:hint="eastAsia" w:eastAsia="黑体"/>
                <w:color w:val="auto"/>
                <w:sz w:val="24"/>
                <w:szCs w:val="24"/>
                <w:highlight w:val="none"/>
              </w:rPr>
              <w:t>：交通基础设施建设</w:t>
            </w:r>
          </w:p>
        </w:tc>
      </w:tr>
      <w:tr w14:paraId="7EB5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9000" w:type="dxa"/>
          </w:tcPr>
          <w:p w14:paraId="0DCF570E">
            <w:pPr>
              <w:spacing w:line="320" w:lineRule="exact"/>
              <w:ind w:firstLine="480"/>
              <w:rPr>
                <w:rFonts w:eastAsia="宋体"/>
                <w:color w:val="auto"/>
                <w:sz w:val="21"/>
                <w:szCs w:val="21"/>
                <w:highlight w:val="none"/>
              </w:rPr>
            </w:pPr>
            <w:r>
              <w:rPr>
                <w:rFonts w:eastAsia="宋体"/>
                <w:b/>
                <w:bCs/>
                <w:color w:val="auto"/>
                <w:sz w:val="21"/>
                <w:szCs w:val="21"/>
                <w:highlight w:val="none"/>
              </w:rPr>
              <w:t>1.</w:t>
            </w:r>
            <w:r>
              <w:rPr>
                <w:rFonts w:hint="eastAsia" w:eastAsia="宋体"/>
                <w:b/>
                <w:bCs/>
                <w:color w:val="auto"/>
                <w:sz w:val="21"/>
                <w:szCs w:val="21"/>
                <w:highlight w:val="none"/>
              </w:rPr>
              <w:t>铁路。</w:t>
            </w:r>
            <w:r>
              <w:rPr>
                <w:rFonts w:hint="eastAsia" w:eastAsia="宋体"/>
                <w:color w:val="auto"/>
                <w:sz w:val="21"/>
                <w:szCs w:val="21"/>
                <w:highlight w:val="none"/>
              </w:rPr>
              <w:t>迁安至青龙地方铁路、昌黎至京唐港地方铁路</w:t>
            </w:r>
            <w:r>
              <w:rPr>
                <w:rFonts w:hint="eastAsia" w:eastAsia="宋体"/>
                <w:color w:val="auto"/>
                <w:sz w:val="21"/>
                <w:szCs w:val="21"/>
                <w:highlight w:val="none"/>
                <w:lang w:eastAsia="zh-CN"/>
              </w:rPr>
              <w:t>、</w:t>
            </w:r>
            <w:r>
              <w:rPr>
                <w:rFonts w:hint="eastAsia" w:eastAsia="宋体"/>
                <w:color w:val="auto"/>
                <w:sz w:val="21"/>
                <w:szCs w:val="21"/>
                <w:highlight w:val="none"/>
              </w:rPr>
              <w:t>宏兴铁路专用线、安丰铁路专用线、金海食品加工产业园铁路专用线。</w:t>
            </w:r>
          </w:p>
          <w:p w14:paraId="036A91A4">
            <w:pPr>
              <w:spacing w:line="320" w:lineRule="exact"/>
              <w:ind w:firstLine="480"/>
              <w:rPr>
                <w:rFonts w:eastAsia="宋体"/>
                <w:color w:val="auto"/>
                <w:sz w:val="21"/>
                <w:szCs w:val="21"/>
                <w:highlight w:val="none"/>
              </w:rPr>
            </w:pPr>
            <w:r>
              <w:rPr>
                <w:rFonts w:eastAsia="宋体"/>
                <w:b/>
                <w:bCs/>
                <w:color w:val="auto"/>
                <w:sz w:val="21"/>
                <w:szCs w:val="21"/>
                <w:highlight w:val="none"/>
              </w:rPr>
              <w:t>2.</w:t>
            </w:r>
            <w:r>
              <w:rPr>
                <w:rFonts w:hint="eastAsia" w:eastAsia="宋体"/>
                <w:b/>
                <w:bCs/>
                <w:color w:val="auto"/>
                <w:sz w:val="21"/>
                <w:szCs w:val="21"/>
                <w:highlight w:val="none"/>
              </w:rPr>
              <w:t>轨道交通。</w:t>
            </w:r>
            <w:r>
              <w:rPr>
                <w:rFonts w:hint="eastAsia" w:eastAsia="宋体"/>
                <w:color w:val="auto"/>
                <w:sz w:val="21"/>
                <w:szCs w:val="21"/>
                <w:highlight w:val="none"/>
              </w:rPr>
              <w:t>秦皇岛市有轨电车示范线工程。</w:t>
            </w:r>
          </w:p>
          <w:p w14:paraId="0F868DB3">
            <w:pPr>
              <w:spacing w:line="320" w:lineRule="exact"/>
              <w:ind w:firstLine="480"/>
              <w:rPr>
                <w:rFonts w:eastAsia="宋体"/>
                <w:color w:val="auto"/>
                <w:sz w:val="21"/>
                <w:szCs w:val="21"/>
                <w:highlight w:val="none"/>
              </w:rPr>
            </w:pPr>
            <w:r>
              <w:rPr>
                <w:rFonts w:eastAsia="宋体"/>
                <w:b/>
                <w:bCs/>
                <w:color w:val="auto"/>
                <w:sz w:val="21"/>
                <w:szCs w:val="21"/>
                <w:highlight w:val="none"/>
              </w:rPr>
              <w:t>3.</w:t>
            </w:r>
            <w:r>
              <w:rPr>
                <w:rFonts w:hint="eastAsia" w:eastAsia="宋体"/>
                <w:b/>
                <w:bCs/>
                <w:color w:val="auto"/>
                <w:sz w:val="21"/>
                <w:szCs w:val="21"/>
                <w:highlight w:val="none"/>
              </w:rPr>
              <w:t>机场。</w:t>
            </w:r>
            <w:r>
              <w:rPr>
                <w:rFonts w:hint="eastAsia" w:eastAsia="宋体"/>
                <w:color w:val="auto"/>
                <w:sz w:val="21"/>
                <w:szCs w:val="21"/>
                <w:highlight w:val="none"/>
              </w:rPr>
              <w:t>北戴河机场改扩建、北戴河机场安防设施升级改造和高压配电增容</w:t>
            </w:r>
            <w:r>
              <w:rPr>
                <w:rFonts w:hint="eastAsia" w:eastAsia="宋体"/>
                <w:color w:val="auto"/>
                <w:sz w:val="21"/>
                <w:szCs w:val="21"/>
                <w:highlight w:val="none"/>
                <w:lang w:eastAsia="zh-CN"/>
              </w:rPr>
              <w:t>工程</w:t>
            </w:r>
            <w:r>
              <w:rPr>
                <w:rFonts w:hint="eastAsia" w:eastAsia="宋体"/>
                <w:color w:val="auto"/>
                <w:sz w:val="21"/>
                <w:szCs w:val="21"/>
                <w:highlight w:val="none"/>
              </w:rPr>
              <w:t>、青龙通用机场</w:t>
            </w:r>
            <w:r>
              <w:rPr>
                <w:rFonts w:hint="eastAsia" w:eastAsia="宋体"/>
                <w:color w:val="auto"/>
                <w:sz w:val="21"/>
                <w:szCs w:val="21"/>
                <w:highlight w:val="none"/>
                <w:lang w:eastAsia="zh-CN"/>
              </w:rPr>
              <w:t>建设</w:t>
            </w:r>
            <w:r>
              <w:rPr>
                <w:rFonts w:hint="eastAsia" w:eastAsia="宋体"/>
                <w:color w:val="auto"/>
                <w:sz w:val="21"/>
                <w:szCs w:val="21"/>
                <w:highlight w:val="none"/>
              </w:rPr>
              <w:t>。</w:t>
            </w:r>
          </w:p>
          <w:p w14:paraId="67D0411B">
            <w:pPr>
              <w:spacing w:line="320" w:lineRule="exact"/>
              <w:ind w:firstLine="480"/>
              <w:rPr>
                <w:rFonts w:eastAsia="宋体"/>
                <w:color w:val="auto"/>
                <w:sz w:val="21"/>
                <w:szCs w:val="21"/>
                <w:highlight w:val="none"/>
              </w:rPr>
            </w:pPr>
            <w:r>
              <w:rPr>
                <w:rFonts w:eastAsia="宋体"/>
                <w:b/>
                <w:bCs/>
                <w:color w:val="auto"/>
                <w:sz w:val="21"/>
                <w:szCs w:val="21"/>
                <w:highlight w:val="none"/>
              </w:rPr>
              <w:t>4.</w:t>
            </w:r>
            <w:r>
              <w:rPr>
                <w:rFonts w:hint="eastAsia" w:eastAsia="宋体"/>
                <w:b/>
                <w:bCs/>
                <w:color w:val="auto"/>
                <w:sz w:val="21"/>
                <w:szCs w:val="21"/>
                <w:highlight w:val="none"/>
              </w:rPr>
              <w:t>港口码头。</w:t>
            </w:r>
            <w:r>
              <w:rPr>
                <w:rFonts w:hint="eastAsia" w:eastAsia="宋体"/>
                <w:color w:val="auto"/>
                <w:sz w:val="21"/>
                <w:szCs w:val="21"/>
                <w:highlight w:val="none"/>
              </w:rPr>
              <w:t>秦皇岛港东港区集装箱及通用码头建设、主航道及东航道扩建、粮食输送管廊工程，山海关港综合开发，山海关、滦河口、新开口、洋河口、大蒲河、人造河渔港建设及改造。</w:t>
            </w:r>
          </w:p>
          <w:p w14:paraId="5AEA200C">
            <w:pPr>
              <w:spacing w:line="320" w:lineRule="exact"/>
              <w:ind w:firstLine="480"/>
              <w:rPr>
                <w:rFonts w:eastAsia="宋体"/>
                <w:color w:val="auto"/>
                <w:sz w:val="21"/>
                <w:szCs w:val="21"/>
                <w:highlight w:val="none"/>
              </w:rPr>
            </w:pPr>
            <w:r>
              <w:rPr>
                <w:rFonts w:eastAsia="宋体"/>
                <w:b/>
                <w:bCs/>
                <w:color w:val="auto"/>
                <w:sz w:val="21"/>
                <w:szCs w:val="21"/>
                <w:highlight w:val="none"/>
              </w:rPr>
              <w:t>5.</w:t>
            </w:r>
            <w:r>
              <w:rPr>
                <w:rFonts w:hint="eastAsia" w:eastAsia="宋体"/>
                <w:b/>
                <w:bCs/>
                <w:color w:val="auto"/>
                <w:sz w:val="21"/>
                <w:szCs w:val="21"/>
                <w:highlight w:val="none"/>
              </w:rPr>
              <w:t>高速公路。</w:t>
            </w:r>
            <w:r>
              <w:rPr>
                <w:rFonts w:hint="eastAsia" w:eastAsia="宋体"/>
                <w:color w:val="auto"/>
                <w:sz w:val="21"/>
                <w:szCs w:val="21"/>
                <w:highlight w:val="none"/>
              </w:rPr>
              <w:t>京秦高速北戴河新区支线、秦唐高速公路秦皇岛段建设。</w:t>
            </w:r>
          </w:p>
          <w:p w14:paraId="2E3D214D">
            <w:pPr>
              <w:spacing w:line="320" w:lineRule="exact"/>
              <w:ind w:firstLine="480"/>
              <w:rPr>
                <w:rFonts w:eastAsia="宋体"/>
                <w:color w:val="auto"/>
                <w:sz w:val="21"/>
                <w:szCs w:val="21"/>
                <w:highlight w:val="none"/>
              </w:rPr>
            </w:pPr>
            <w:r>
              <w:rPr>
                <w:rFonts w:eastAsia="宋体"/>
                <w:b/>
                <w:bCs/>
                <w:color w:val="auto"/>
                <w:sz w:val="21"/>
                <w:szCs w:val="21"/>
                <w:highlight w:val="none"/>
              </w:rPr>
              <w:t>6.</w:t>
            </w:r>
            <w:r>
              <w:rPr>
                <w:rFonts w:hint="eastAsia" w:eastAsia="宋体"/>
                <w:b/>
                <w:bCs/>
                <w:color w:val="auto"/>
                <w:sz w:val="21"/>
                <w:szCs w:val="21"/>
                <w:highlight w:val="none"/>
              </w:rPr>
              <w:t>国省干道。</w:t>
            </w:r>
            <w:r>
              <w:rPr>
                <w:rFonts w:hint="eastAsia" w:eastAsia="宋体"/>
                <w:color w:val="auto"/>
                <w:sz w:val="21"/>
                <w:szCs w:val="21"/>
                <w:highlight w:val="none"/>
              </w:rPr>
              <w:t>国道</w:t>
            </w:r>
            <w:r>
              <w:rPr>
                <w:rFonts w:eastAsia="宋体"/>
                <w:color w:val="auto"/>
                <w:sz w:val="21"/>
                <w:szCs w:val="21"/>
                <w:highlight w:val="none"/>
              </w:rPr>
              <w:t>G102</w:t>
            </w:r>
            <w:r>
              <w:rPr>
                <w:rFonts w:hint="eastAsia" w:eastAsia="宋体"/>
                <w:color w:val="auto"/>
                <w:sz w:val="21"/>
                <w:szCs w:val="21"/>
                <w:highlight w:val="none"/>
              </w:rPr>
              <w:t>、</w:t>
            </w:r>
            <w:r>
              <w:rPr>
                <w:rFonts w:eastAsia="宋体"/>
                <w:color w:val="auto"/>
                <w:sz w:val="21"/>
                <w:szCs w:val="21"/>
                <w:highlight w:val="none"/>
              </w:rPr>
              <w:t>G228</w:t>
            </w:r>
            <w:r>
              <w:rPr>
                <w:rFonts w:hint="eastAsia" w:eastAsia="宋体"/>
                <w:color w:val="auto"/>
                <w:sz w:val="21"/>
                <w:szCs w:val="21"/>
                <w:highlight w:val="none"/>
              </w:rPr>
              <w:t>、</w:t>
            </w:r>
            <w:r>
              <w:rPr>
                <w:rFonts w:eastAsia="宋体"/>
                <w:color w:val="auto"/>
                <w:sz w:val="21"/>
                <w:szCs w:val="21"/>
                <w:highlight w:val="none"/>
              </w:rPr>
              <w:t>G230</w:t>
            </w:r>
            <w:r>
              <w:rPr>
                <w:rFonts w:hint="eastAsia" w:eastAsia="宋体"/>
                <w:color w:val="auto"/>
                <w:sz w:val="21"/>
                <w:szCs w:val="21"/>
                <w:highlight w:val="none"/>
              </w:rPr>
              <w:t>部分路段改建，省道</w:t>
            </w:r>
            <w:r>
              <w:rPr>
                <w:rFonts w:eastAsia="宋体"/>
                <w:color w:val="auto"/>
                <w:sz w:val="21"/>
                <w:szCs w:val="21"/>
                <w:highlight w:val="none"/>
              </w:rPr>
              <w:t>S202</w:t>
            </w:r>
            <w:r>
              <w:rPr>
                <w:rFonts w:hint="eastAsia" w:eastAsia="宋体"/>
                <w:color w:val="auto"/>
                <w:sz w:val="21"/>
                <w:szCs w:val="21"/>
                <w:highlight w:val="none"/>
              </w:rPr>
              <w:t>、</w:t>
            </w:r>
            <w:r>
              <w:rPr>
                <w:rFonts w:eastAsia="宋体"/>
                <w:color w:val="auto"/>
                <w:sz w:val="21"/>
                <w:szCs w:val="21"/>
                <w:highlight w:val="none"/>
              </w:rPr>
              <w:t>S205</w:t>
            </w:r>
            <w:r>
              <w:rPr>
                <w:rFonts w:hint="eastAsia" w:eastAsia="宋体"/>
                <w:color w:val="auto"/>
                <w:sz w:val="21"/>
                <w:szCs w:val="21"/>
                <w:highlight w:val="none"/>
              </w:rPr>
              <w:t>、</w:t>
            </w:r>
            <w:r>
              <w:rPr>
                <w:rFonts w:eastAsia="宋体"/>
                <w:color w:val="auto"/>
                <w:sz w:val="21"/>
                <w:szCs w:val="21"/>
                <w:highlight w:val="none"/>
              </w:rPr>
              <w:t>S318</w:t>
            </w:r>
            <w:r>
              <w:rPr>
                <w:rFonts w:hint="eastAsia" w:eastAsia="宋体"/>
                <w:color w:val="auto"/>
                <w:sz w:val="21"/>
                <w:szCs w:val="21"/>
                <w:highlight w:val="none"/>
              </w:rPr>
              <w:t>部分路段改建，干线公路路网改造。</w:t>
            </w:r>
          </w:p>
          <w:p w14:paraId="7571C2C8">
            <w:pPr>
              <w:spacing w:line="360" w:lineRule="exact"/>
              <w:ind w:firstLine="422" w:firstLineChars="200"/>
              <w:rPr>
                <w:rFonts w:eastAsia="宋体"/>
                <w:color w:val="auto"/>
                <w:highlight w:val="none"/>
              </w:rPr>
            </w:pPr>
            <w:r>
              <w:rPr>
                <w:rFonts w:eastAsia="宋体"/>
                <w:b/>
                <w:bCs/>
                <w:color w:val="auto"/>
                <w:sz w:val="21"/>
                <w:szCs w:val="21"/>
                <w:highlight w:val="none"/>
              </w:rPr>
              <w:t>7.</w:t>
            </w:r>
            <w:r>
              <w:rPr>
                <w:rFonts w:hint="eastAsia" w:eastAsia="宋体"/>
                <w:b/>
                <w:bCs/>
                <w:color w:val="auto"/>
                <w:sz w:val="21"/>
                <w:szCs w:val="21"/>
                <w:highlight w:val="none"/>
              </w:rPr>
              <w:t>农村公路。</w:t>
            </w:r>
            <w:r>
              <w:rPr>
                <w:rFonts w:hint="eastAsia" w:eastAsia="宋体"/>
                <w:color w:val="auto"/>
                <w:sz w:val="21"/>
                <w:szCs w:val="21"/>
                <w:highlight w:val="none"/>
              </w:rPr>
              <w:t>长城旅游公路、农村公路建设。</w:t>
            </w:r>
          </w:p>
        </w:tc>
      </w:tr>
    </w:tbl>
    <w:p w14:paraId="3D5683CD">
      <w:pPr>
        <w:spacing w:line="560" w:lineRule="exact"/>
        <w:ind w:firstLine="640" w:firstLineChars="200"/>
        <w:outlineLvl w:val="2"/>
        <w:rPr>
          <w:b/>
          <w:bCs/>
          <w:color w:val="auto"/>
          <w:highlight w:val="none"/>
        </w:rPr>
      </w:pPr>
      <w:bookmarkStart w:id="226" w:name="_Toc24786"/>
      <w:bookmarkStart w:id="227" w:name="_Toc19513"/>
      <w:bookmarkStart w:id="228" w:name="_Toc19115"/>
      <w:r>
        <w:rPr>
          <w:rFonts w:hint="eastAsia"/>
          <w:b w:val="0"/>
          <w:bCs w:val="0"/>
          <w:color w:val="auto"/>
          <w:highlight w:val="none"/>
        </w:rPr>
        <w:t>（四）构建综合能源</w:t>
      </w:r>
      <w:bookmarkEnd w:id="226"/>
      <w:r>
        <w:rPr>
          <w:rFonts w:hint="eastAsia"/>
          <w:b w:val="0"/>
          <w:bCs w:val="0"/>
          <w:color w:val="auto"/>
          <w:highlight w:val="none"/>
        </w:rPr>
        <w:t>体系</w:t>
      </w:r>
      <w:bookmarkEnd w:id="227"/>
      <w:bookmarkEnd w:id="228"/>
    </w:p>
    <w:p w14:paraId="13DA316F">
      <w:pPr>
        <w:spacing w:line="560" w:lineRule="exact"/>
        <w:ind w:firstLine="640" w:firstLineChars="200"/>
        <w:rPr>
          <w:color w:val="auto"/>
          <w:highlight w:val="none"/>
        </w:rPr>
      </w:pPr>
      <w:r>
        <w:rPr>
          <w:rFonts w:hint="eastAsia" w:eastAsia="仿宋_GB2312"/>
          <w:color w:val="auto"/>
          <w:highlight w:val="none"/>
        </w:rPr>
        <w:t>构建坚强可靠基础设施体系，完善输电主网架，高标准推进城乡配电网改造升级，加强电网运行管理数字化、智能化建设，提高安全运行水平和风险应对能力。完善油气管网，加快中俄天然气管线秦皇岛段、秦丰沿海天然气管线等输气主管网建设，完善县区支线和输配管网建设，全面提升</w:t>
      </w:r>
      <w:r>
        <w:rPr>
          <w:rFonts w:hint="eastAsia" w:eastAsia="仿宋_GB2312"/>
          <w:color w:val="auto"/>
          <w:highlight w:val="none"/>
          <w:lang w:eastAsia="zh-CN"/>
        </w:rPr>
        <w:t>“</w:t>
      </w:r>
      <w:r>
        <w:rPr>
          <w:rFonts w:hint="eastAsia" w:eastAsia="仿宋_GB2312"/>
          <w:color w:val="auto"/>
          <w:highlight w:val="none"/>
        </w:rPr>
        <w:t>县县通气</w:t>
      </w:r>
      <w:r>
        <w:rPr>
          <w:rFonts w:hint="eastAsia" w:eastAsia="仿宋_GB2312"/>
          <w:color w:val="auto"/>
          <w:highlight w:val="none"/>
          <w:lang w:eastAsia="zh-CN"/>
        </w:rPr>
        <w:t>”</w:t>
      </w:r>
      <w:r>
        <w:rPr>
          <w:rFonts w:hint="eastAsia" w:eastAsia="仿宋_GB2312"/>
          <w:color w:val="auto"/>
          <w:highlight w:val="none"/>
        </w:rPr>
        <w:t>覆盖率。构建绿色安全能源生产供应体系，加快清洁能源设施建设，积极推进抚宁抽水蓄能电站、氢能产业园建设，实施光伏、风电等可再生能源重大工程，推进城市热电联产和支撑电源项目改造升级，科学布局建设天然气调峰电站，加强余热余压及工业副产品、生活垃圾等能源资源回收综合利用，因地制宜推进生物质热电联产，推动新能源汽车充换电网络、天然气加气站、加氢站等基础设施建设。发展智慧用能源新模式，推动能源与信息基础设施深度融合。</w:t>
      </w:r>
    </w:p>
    <w:tbl>
      <w:tblPr>
        <w:tblStyle w:val="17"/>
        <w:tblpPr w:leftFromText="180" w:rightFromText="180" w:vertAnchor="text" w:horzAnchor="page" w:tblpX="1760" w:tblpY="50"/>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12990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0" w:type="dxa"/>
          </w:tcPr>
          <w:p w14:paraId="7F5EBA4A">
            <w:pPr>
              <w:spacing w:line="360" w:lineRule="exact"/>
              <w:jc w:val="center"/>
              <w:rPr>
                <w:color w:val="auto"/>
                <w:sz w:val="24"/>
                <w:szCs w:val="24"/>
                <w:highlight w:val="none"/>
              </w:rPr>
            </w:pPr>
            <w:r>
              <w:rPr>
                <w:rFonts w:hint="eastAsia" w:eastAsia="黑体"/>
                <w:color w:val="auto"/>
                <w:sz w:val="24"/>
                <w:szCs w:val="24"/>
                <w:highlight w:val="none"/>
              </w:rPr>
              <w:t>专栏</w:t>
            </w:r>
            <w:r>
              <w:rPr>
                <w:rFonts w:hint="eastAsia" w:eastAsia="黑体"/>
                <w:color w:val="auto"/>
                <w:sz w:val="24"/>
                <w:szCs w:val="24"/>
                <w:highlight w:val="none"/>
                <w:lang w:val="en-US" w:eastAsia="zh-CN"/>
              </w:rPr>
              <w:t>5</w:t>
            </w:r>
            <w:r>
              <w:rPr>
                <w:rFonts w:hint="eastAsia" w:eastAsia="黑体"/>
                <w:color w:val="auto"/>
                <w:sz w:val="24"/>
                <w:szCs w:val="24"/>
                <w:highlight w:val="none"/>
              </w:rPr>
              <w:t>：能源基础设施建设</w:t>
            </w:r>
          </w:p>
        </w:tc>
      </w:tr>
      <w:tr w14:paraId="2A14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7" w:hRule="atLeast"/>
        </w:trPr>
        <w:tc>
          <w:tcPr>
            <w:tcW w:w="9000" w:type="dxa"/>
          </w:tcPr>
          <w:p w14:paraId="46B721B6">
            <w:pPr>
              <w:spacing w:line="320" w:lineRule="exact"/>
              <w:ind w:firstLine="422" w:firstLineChars="200"/>
              <w:rPr>
                <w:rFonts w:eastAsia="宋体"/>
                <w:bCs/>
                <w:color w:val="auto"/>
                <w:sz w:val="21"/>
                <w:szCs w:val="21"/>
                <w:highlight w:val="none"/>
              </w:rPr>
            </w:pPr>
            <w:r>
              <w:rPr>
                <w:rFonts w:eastAsia="宋体"/>
                <w:b/>
                <w:color w:val="auto"/>
                <w:sz w:val="21"/>
                <w:szCs w:val="21"/>
                <w:highlight w:val="none"/>
              </w:rPr>
              <w:t>1.</w:t>
            </w:r>
            <w:r>
              <w:rPr>
                <w:rFonts w:hint="eastAsia" w:eastAsia="宋体"/>
                <w:b/>
                <w:color w:val="auto"/>
                <w:sz w:val="21"/>
                <w:szCs w:val="21"/>
                <w:highlight w:val="none"/>
              </w:rPr>
              <w:t>火电。</w:t>
            </w:r>
            <w:r>
              <w:rPr>
                <w:rFonts w:hint="eastAsia" w:eastAsia="宋体"/>
                <w:bCs/>
                <w:color w:val="auto"/>
                <w:sz w:val="21"/>
                <w:szCs w:val="21"/>
                <w:highlight w:val="none"/>
              </w:rPr>
              <w:t>秦皇岛发电</w:t>
            </w:r>
            <w:r>
              <w:rPr>
                <w:rFonts w:eastAsia="宋体"/>
                <w:bCs/>
                <w:color w:val="auto"/>
                <w:sz w:val="21"/>
                <w:szCs w:val="21"/>
                <w:highlight w:val="none"/>
              </w:rPr>
              <w:t>2×350MW</w:t>
            </w:r>
            <w:r>
              <w:rPr>
                <w:rFonts w:hint="eastAsia" w:eastAsia="宋体"/>
                <w:bCs/>
                <w:color w:val="auto"/>
                <w:sz w:val="21"/>
                <w:szCs w:val="21"/>
                <w:highlight w:val="none"/>
              </w:rPr>
              <w:t>等容量替代热电联产、河北华电抚宁</w:t>
            </w:r>
            <w:r>
              <w:rPr>
                <w:rFonts w:eastAsia="宋体"/>
                <w:bCs/>
                <w:color w:val="auto"/>
                <w:sz w:val="21"/>
                <w:szCs w:val="21"/>
                <w:highlight w:val="none"/>
              </w:rPr>
              <w:t>2×25MW</w:t>
            </w:r>
            <w:r>
              <w:rPr>
                <w:rFonts w:hint="eastAsia" w:eastAsia="宋体"/>
                <w:bCs/>
                <w:color w:val="auto"/>
                <w:sz w:val="21"/>
                <w:szCs w:val="21"/>
                <w:highlight w:val="none"/>
              </w:rPr>
              <w:t>背压热电联产机组及配套热网、开发区东区</w:t>
            </w:r>
            <w:r>
              <w:rPr>
                <w:rFonts w:eastAsia="宋体"/>
                <w:bCs/>
                <w:color w:val="auto"/>
                <w:sz w:val="21"/>
                <w:szCs w:val="21"/>
                <w:highlight w:val="none"/>
              </w:rPr>
              <w:t>2×25MW</w:t>
            </w:r>
            <w:r>
              <w:rPr>
                <w:rFonts w:hint="eastAsia" w:eastAsia="宋体"/>
                <w:bCs/>
                <w:color w:val="auto"/>
                <w:sz w:val="21"/>
                <w:szCs w:val="21"/>
                <w:highlight w:val="none"/>
              </w:rPr>
              <w:t>背压热电联产机组及配套热网等项目。</w:t>
            </w:r>
          </w:p>
          <w:p w14:paraId="1D55A281">
            <w:pPr>
              <w:spacing w:line="320" w:lineRule="exact"/>
              <w:ind w:firstLine="422" w:firstLineChars="200"/>
              <w:rPr>
                <w:rFonts w:eastAsia="宋体"/>
                <w:bCs/>
                <w:color w:val="auto"/>
                <w:sz w:val="21"/>
                <w:szCs w:val="21"/>
                <w:highlight w:val="none"/>
              </w:rPr>
            </w:pPr>
            <w:r>
              <w:rPr>
                <w:rFonts w:eastAsia="宋体"/>
                <w:b/>
                <w:color w:val="auto"/>
                <w:sz w:val="21"/>
                <w:szCs w:val="21"/>
                <w:highlight w:val="none"/>
              </w:rPr>
              <w:t>2.</w:t>
            </w:r>
            <w:r>
              <w:rPr>
                <w:rFonts w:hint="eastAsia" w:eastAsia="宋体"/>
                <w:b/>
                <w:color w:val="auto"/>
                <w:sz w:val="21"/>
                <w:szCs w:val="21"/>
                <w:highlight w:val="none"/>
              </w:rPr>
              <w:t>水电。</w:t>
            </w:r>
            <w:r>
              <w:rPr>
                <w:rFonts w:hint="eastAsia" w:eastAsia="宋体"/>
                <w:bCs/>
                <w:color w:val="auto"/>
                <w:sz w:val="21"/>
                <w:szCs w:val="21"/>
                <w:highlight w:val="none"/>
              </w:rPr>
              <w:t>河北抚宁</w:t>
            </w:r>
            <w:r>
              <w:rPr>
                <w:rFonts w:eastAsia="宋体"/>
                <w:bCs/>
                <w:color w:val="auto"/>
                <w:sz w:val="21"/>
                <w:szCs w:val="21"/>
                <w:highlight w:val="none"/>
              </w:rPr>
              <w:t>120</w:t>
            </w:r>
            <w:r>
              <w:rPr>
                <w:rFonts w:hint="eastAsia" w:eastAsia="宋体"/>
                <w:bCs/>
                <w:color w:val="auto"/>
                <w:sz w:val="21"/>
                <w:szCs w:val="21"/>
                <w:highlight w:val="none"/>
              </w:rPr>
              <w:t>万千瓦抽水蓄能电站。</w:t>
            </w:r>
          </w:p>
          <w:p w14:paraId="79AC7D3A">
            <w:pPr>
              <w:spacing w:line="320" w:lineRule="exact"/>
              <w:ind w:firstLine="422" w:firstLineChars="200"/>
              <w:rPr>
                <w:rFonts w:eastAsia="宋体"/>
                <w:bCs/>
                <w:color w:val="auto"/>
                <w:sz w:val="21"/>
                <w:szCs w:val="21"/>
                <w:highlight w:val="none"/>
              </w:rPr>
            </w:pPr>
            <w:r>
              <w:rPr>
                <w:rFonts w:eastAsia="宋体"/>
                <w:b/>
                <w:color w:val="auto"/>
                <w:sz w:val="21"/>
                <w:szCs w:val="21"/>
                <w:highlight w:val="none"/>
              </w:rPr>
              <w:t>3.</w:t>
            </w:r>
            <w:r>
              <w:rPr>
                <w:rFonts w:hint="eastAsia" w:eastAsia="宋体"/>
                <w:b/>
                <w:color w:val="auto"/>
                <w:sz w:val="21"/>
                <w:szCs w:val="21"/>
                <w:highlight w:val="none"/>
              </w:rPr>
              <w:t>风电。</w:t>
            </w:r>
            <w:r>
              <w:rPr>
                <w:rFonts w:eastAsia="宋体"/>
                <w:bCs/>
                <w:color w:val="auto"/>
                <w:sz w:val="21"/>
                <w:szCs w:val="21"/>
                <w:highlight w:val="none"/>
              </w:rPr>
              <w:t>120</w:t>
            </w:r>
            <w:r>
              <w:rPr>
                <w:rFonts w:hint="eastAsia" w:eastAsia="宋体"/>
                <w:bCs/>
                <w:color w:val="auto"/>
                <w:sz w:val="21"/>
                <w:szCs w:val="21"/>
                <w:highlight w:val="none"/>
              </w:rPr>
              <w:t>万千瓦风电、</w:t>
            </w:r>
            <w:r>
              <w:rPr>
                <w:rFonts w:eastAsia="宋体"/>
                <w:bCs/>
                <w:color w:val="auto"/>
                <w:sz w:val="21"/>
                <w:szCs w:val="21"/>
                <w:highlight w:val="none"/>
              </w:rPr>
              <w:t>110</w:t>
            </w:r>
            <w:r>
              <w:rPr>
                <w:rFonts w:hint="eastAsia" w:eastAsia="宋体"/>
                <w:bCs/>
                <w:color w:val="auto"/>
                <w:sz w:val="21"/>
                <w:szCs w:val="21"/>
                <w:highlight w:val="none"/>
              </w:rPr>
              <w:t>万千瓦光伏发电、中节能风力发电、国家电投青龙风力发电、中国水电青龙风力发电等项目。</w:t>
            </w:r>
          </w:p>
          <w:p w14:paraId="1F5C63E8">
            <w:pPr>
              <w:spacing w:line="320" w:lineRule="exact"/>
              <w:ind w:firstLine="422" w:firstLineChars="200"/>
              <w:rPr>
                <w:rFonts w:eastAsia="宋体"/>
                <w:bCs/>
                <w:color w:val="auto"/>
                <w:sz w:val="21"/>
                <w:szCs w:val="21"/>
                <w:highlight w:val="none"/>
              </w:rPr>
            </w:pPr>
            <w:r>
              <w:rPr>
                <w:rFonts w:eastAsia="宋体"/>
                <w:b/>
                <w:color w:val="auto"/>
                <w:sz w:val="21"/>
                <w:szCs w:val="21"/>
                <w:highlight w:val="none"/>
              </w:rPr>
              <w:t>4.</w:t>
            </w:r>
            <w:r>
              <w:rPr>
                <w:rFonts w:hint="eastAsia" w:eastAsia="宋体"/>
                <w:b/>
                <w:color w:val="auto"/>
                <w:sz w:val="21"/>
                <w:szCs w:val="21"/>
                <w:highlight w:val="none"/>
              </w:rPr>
              <w:t>电网。</w:t>
            </w:r>
            <w:r>
              <w:rPr>
                <w:rFonts w:hint="eastAsia" w:eastAsia="宋体"/>
                <w:bCs/>
                <w:color w:val="auto"/>
                <w:sz w:val="21"/>
                <w:szCs w:val="21"/>
                <w:highlight w:val="none"/>
              </w:rPr>
              <w:t>秦皇岛电网规划配套建设。</w:t>
            </w:r>
          </w:p>
          <w:p w14:paraId="21147924">
            <w:pPr>
              <w:spacing w:line="320" w:lineRule="exact"/>
              <w:ind w:firstLine="422" w:firstLineChars="200"/>
              <w:rPr>
                <w:rFonts w:eastAsia="宋体"/>
                <w:bCs/>
                <w:color w:val="auto"/>
                <w:sz w:val="21"/>
                <w:szCs w:val="21"/>
                <w:highlight w:val="none"/>
              </w:rPr>
            </w:pPr>
            <w:r>
              <w:rPr>
                <w:rFonts w:eastAsia="宋体"/>
                <w:b/>
                <w:color w:val="auto"/>
                <w:sz w:val="21"/>
                <w:szCs w:val="21"/>
                <w:highlight w:val="none"/>
              </w:rPr>
              <w:t>5.</w:t>
            </w:r>
            <w:r>
              <w:rPr>
                <w:rFonts w:hint="eastAsia" w:eastAsia="宋体"/>
                <w:b/>
                <w:color w:val="auto"/>
                <w:sz w:val="21"/>
                <w:szCs w:val="21"/>
                <w:highlight w:val="none"/>
              </w:rPr>
              <w:t>充电桩。</w:t>
            </w:r>
            <w:r>
              <w:rPr>
                <w:rFonts w:hint="eastAsia" w:eastAsia="宋体"/>
                <w:bCs/>
                <w:color w:val="auto"/>
                <w:sz w:val="21"/>
                <w:szCs w:val="21"/>
                <w:highlight w:val="none"/>
              </w:rPr>
              <w:t>新能源充电基础设施建设。</w:t>
            </w:r>
          </w:p>
          <w:p w14:paraId="70F56B2B">
            <w:pPr>
              <w:spacing w:line="320" w:lineRule="exact"/>
              <w:ind w:firstLine="422" w:firstLineChars="200"/>
              <w:rPr>
                <w:rFonts w:eastAsia="宋体"/>
                <w:bCs/>
                <w:color w:val="auto"/>
                <w:sz w:val="21"/>
                <w:szCs w:val="21"/>
                <w:highlight w:val="none"/>
              </w:rPr>
            </w:pPr>
            <w:r>
              <w:rPr>
                <w:rFonts w:eastAsia="宋体"/>
                <w:b/>
                <w:color w:val="auto"/>
                <w:sz w:val="21"/>
                <w:szCs w:val="21"/>
                <w:highlight w:val="none"/>
              </w:rPr>
              <w:t>6.</w:t>
            </w:r>
            <w:r>
              <w:rPr>
                <w:rFonts w:hint="eastAsia" w:eastAsia="宋体"/>
                <w:b/>
                <w:color w:val="auto"/>
                <w:sz w:val="21"/>
                <w:szCs w:val="21"/>
                <w:highlight w:val="none"/>
              </w:rPr>
              <w:t>供热。</w:t>
            </w:r>
            <w:r>
              <w:rPr>
                <w:rFonts w:hint="eastAsia" w:eastAsia="宋体"/>
                <w:bCs/>
                <w:color w:val="auto"/>
                <w:sz w:val="21"/>
                <w:szCs w:val="21"/>
                <w:highlight w:val="none"/>
              </w:rPr>
              <w:t>昌黎县清洁取暖集中供热及电厂余热利用工程、</w:t>
            </w:r>
            <w:r>
              <w:rPr>
                <w:rFonts w:hint="eastAsia" w:eastAsia="宋体"/>
                <w:bCs/>
                <w:color w:val="auto"/>
                <w:sz w:val="21"/>
                <w:szCs w:val="21"/>
                <w:highlight w:val="none"/>
                <w:lang w:eastAsia="zh-CN"/>
              </w:rPr>
              <w:t>青龙满族自治县</w:t>
            </w:r>
            <w:r>
              <w:rPr>
                <w:rFonts w:hint="eastAsia" w:eastAsia="宋体"/>
                <w:bCs/>
                <w:color w:val="auto"/>
                <w:sz w:val="21"/>
                <w:szCs w:val="21"/>
                <w:highlight w:val="none"/>
              </w:rPr>
              <w:t>城集中供热热源建设、海港区热电联产集中供热南线主管网二期工程。</w:t>
            </w:r>
          </w:p>
          <w:p w14:paraId="418F87FB">
            <w:pPr>
              <w:spacing w:line="320" w:lineRule="exact"/>
              <w:ind w:firstLine="422" w:firstLineChars="200"/>
              <w:rPr>
                <w:rFonts w:eastAsia="宋体"/>
                <w:color w:val="auto"/>
                <w:sz w:val="21"/>
                <w:szCs w:val="21"/>
                <w:highlight w:val="none"/>
              </w:rPr>
            </w:pPr>
            <w:r>
              <w:rPr>
                <w:rFonts w:eastAsia="宋体"/>
                <w:b/>
                <w:color w:val="auto"/>
                <w:sz w:val="21"/>
                <w:szCs w:val="21"/>
                <w:highlight w:val="none"/>
              </w:rPr>
              <w:t>7.</w:t>
            </w:r>
            <w:r>
              <w:rPr>
                <w:rFonts w:hint="eastAsia" w:eastAsia="宋体"/>
                <w:b/>
                <w:color w:val="auto"/>
                <w:sz w:val="21"/>
                <w:szCs w:val="21"/>
                <w:highlight w:val="none"/>
              </w:rPr>
              <w:t>天然气。</w:t>
            </w:r>
            <w:r>
              <w:rPr>
                <w:rFonts w:hint="eastAsia" w:eastAsia="宋体"/>
                <w:bCs/>
                <w:color w:val="auto"/>
                <w:sz w:val="21"/>
                <w:szCs w:val="21"/>
                <w:highlight w:val="none"/>
              </w:rPr>
              <w:t>秦皇岛</w:t>
            </w:r>
            <w:r>
              <w:rPr>
                <w:rFonts w:hint="eastAsia" w:eastAsia="宋体"/>
                <w:bCs/>
                <w:color w:val="auto"/>
                <w:sz w:val="21"/>
                <w:szCs w:val="21"/>
                <w:highlight w:val="none"/>
                <w:lang w:eastAsia="zh-CN"/>
              </w:rPr>
              <w:t>—</w:t>
            </w:r>
            <w:r>
              <w:rPr>
                <w:rFonts w:hint="eastAsia" w:eastAsia="宋体"/>
                <w:bCs/>
                <w:color w:val="auto"/>
                <w:sz w:val="21"/>
                <w:szCs w:val="21"/>
                <w:highlight w:val="none"/>
              </w:rPr>
              <w:t>丰南沿海输气管道、秦皇岛西部（卢龙</w:t>
            </w:r>
            <w:r>
              <w:rPr>
                <w:rFonts w:hint="eastAsia" w:eastAsia="宋体"/>
                <w:bCs/>
                <w:color w:val="auto"/>
                <w:sz w:val="21"/>
                <w:szCs w:val="21"/>
                <w:highlight w:val="none"/>
                <w:lang w:eastAsia="zh-CN"/>
              </w:rPr>
              <w:t>—</w:t>
            </w:r>
            <w:r>
              <w:rPr>
                <w:rFonts w:hint="eastAsia" w:eastAsia="宋体"/>
                <w:bCs/>
                <w:color w:val="auto"/>
                <w:sz w:val="21"/>
                <w:szCs w:val="21"/>
                <w:highlight w:val="none"/>
              </w:rPr>
              <w:t>昌黎）高压燃气管道、秦皇岛市</w:t>
            </w:r>
            <w:r>
              <w:rPr>
                <w:rFonts w:hint="eastAsia" w:eastAsia="宋体"/>
                <w:bCs/>
                <w:color w:val="auto"/>
                <w:sz w:val="21"/>
                <w:szCs w:val="21"/>
                <w:highlight w:val="none"/>
                <w:lang w:eastAsia="zh-CN"/>
              </w:rPr>
              <w:t>—</w:t>
            </w:r>
            <w:r>
              <w:rPr>
                <w:rFonts w:hint="eastAsia" w:eastAsia="宋体"/>
                <w:bCs/>
                <w:color w:val="auto"/>
                <w:sz w:val="21"/>
                <w:szCs w:val="21"/>
                <w:highlight w:val="none"/>
              </w:rPr>
              <w:t>昌黎县天然气利用、中俄东线至青龙支线、中石油秦皇岛昆仑石油燃气管道等项目。</w:t>
            </w:r>
          </w:p>
        </w:tc>
      </w:tr>
    </w:tbl>
    <w:p w14:paraId="73CC8C0D">
      <w:pPr>
        <w:spacing w:line="560" w:lineRule="exact"/>
        <w:ind w:firstLine="640" w:firstLineChars="200"/>
        <w:outlineLvl w:val="2"/>
        <w:rPr>
          <w:b w:val="0"/>
          <w:bCs w:val="0"/>
          <w:color w:val="auto"/>
          <w:highlight w:val="none"/>
        </w:rPr>
      </w:pPr>
      <w:bookmarkStart w:id="229" w:name="_Toc18641"/>
      <w:bookmarkStart w:id="230" w:name="_Toc14710"/>
      <w:bookmarkStart w:id="231" w:name="_Toc29278"/>
      <w:r>
        <w:rPr>
          <w:rFonts w:hint="eastAsia"/>
          <w:b w:val="0"/>
          <w:bCs w:val="0"/>
          <w:color w:val="auto"/>
          <w:highlight w:val="none"/>
        </w:rPr>
        <w:t>（五）加强水利设施建设</w:t>
      </w:r>
      <w:bookmarkEnd w:id="229"/>
      <w:bookmarkEnd w:id="230"/>
      <w:bookmarkEnd w:id="231"/>
    </w:p>
    <w:p w14:paraId="7C43AF9D">
      <w:pPr>
        <w:spacing w:line="560" w:lineRule="exact"/>
        <w:ind w:firstLine="640" w:firstLineChars="200"/>
        <w:rPr>
          <w:rFonts w:eastAsia="仿宋_GB2312"/>
          <w:color w:val="auto"/>
          <w:highlight w:val="none"/>
        </w:rPr>
      </w:pPr>
      <w:r>
        <w:rPr>
          <w:rFonts w:hint="eastAsia" w:eastAsia="仿宋_GB2312"/>
          <w:color w:val="auto"/>
          <w:highlight w:val="none"/>
        </w:rPr>
        <w:t>加强供水保障。科学规划城乡供水体系，实施水源调蓄工程，新建改建一批城镇水厂，实施河道连通供水工程。大力实施农业节水，加强工业和城镇节水改造，建设海绵城市，推进地表水源置换，加大非常规水源利用力度。实行最严格的水资源管理，强化地下水超采综合治理，严格地下水取水许可审批管理，依法有序关停自备水井，加快实现地下水采补平衡和稳步回升。实现全民节水行动，建设节水型社会。</w:t>
      </w:r>
    </w:p>
    <w:p w14:paraId="4A4942D6">
      <w:pPr>
        <w:spacing w:line="560" w:lineRule="exact"/>
        <w:ind w:firstLine="640" w:firstLineChars="200"/>
        <w:rPr>
          <w:rFonts w:eastAsia="仿宋_GB2312"/>
          <w:color w:val="auto"/>
          <w:highlight w:val="none"/>
        </w:rPr>
      </w:pPr>
      <w:r>
        <w:rPr>
          <w:rFonts w:hint="eastAsia" w:eastAsia="仿宋_GB2312"/>
          <w:color w:val="auto"/>
          <w:highlight w:val="none"/>
        </w:rPr>
        <w:t>加强防洪安全。全力做好小型水库、山洪灾害易发区、行洪河道内村庄等重要区域的安全防范工作。以滦河防洪治理、洋河水库除险加固为重点，沟通河系、优化调度，恢复域内灌排渠系功能，清淤扩挖渠道，消除水库运行安全隐患，形成行洪安全与洪水资源化有机结合的防洪减灾格局。统筹流域上下游、城市内外洪涝，全面加强城市防洪排涝工程建设，完善城市排水防涝体系。实施重点山洪沟治理，提升农村防洪能力。</w:t>
      </w:r>
    </w:p>
    <w:p w14:paraId="69D825F4">
      <w:pPr>
        <w:spacing w:line="560" w:lineRule="exact"/>
        <w:ind w:firstLine="640" w:firstLineChars="200"/>
        <w:rPr>
          <w:rFonts w:eastAsia="仿宋_GB2312"/>
          <w:color w:val="auto"/>
          <w:highlight w:val="none"/>
        </w:rPr>
      </w:pPr>
      <w:r>
        <w:rPr>
          <w:rFonts w:hint="eastAsia" w:eastAsia="仿宋_GB2312"/>
          <w:color w:val="auto"/>
          <w:highlight w:val="none"/>
        </w:rPr>
        <w:t>加强农田水利设施建设。加快实施大型灌区和重点中型灌区现代化改造，开展达标工程建设，消除运行安全隐患。有序新建一批山丘区和平原区节水型、生态型灌区，提高农田抗御旱涝灾害能力。大力推广先进适用节水灌溉技术，因地制宜发展喷灌、微灌、高标准管灌等高效节水灌溉，逐步实现输水系统的管网化、智能化，构建高效节水的灌溉工程体系。</w:t>
      </w:r>
    </w:p>
    <w:tbl>
      <w:tblPr>
        <w:tblStyle w:val="17"/>
        <w:tblpPr w:leftFromText="180" w:rightFromText="180" w:vertAnchor="text" w:horzAnchor="page" w:tblpX="1760" w:tblpY="50"/>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0470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0" w:type="dxa"/>
          </w:tcPr>
          <w:p w14:paraId="5BC62082">
            <w:pPr>
              <w:spacing w:line="360" w:lineRule="exact"/>
              <w:jc w:val="center"/>
              <w:rPr>
                <w:color w:val="auto"/>
                <w:sz w:val="24"/>
                <w:szCs w:val="24"/>
                <w:highlight w:val="none"/>
              </w:rPr>
            </w:pPr>
            <w:r>
              <w:rPr>
                <w:rFonts w:hint="eastAsia" w:eastAsia="黑体"/>
                <w:color w:val="auto"/>
                <w:sz w:val="24"/>
                <w:szCs w:val="24"/>
                <w:highlight w:val="none"/>
              </w:rPr>
              <w:t>专栏</w:t>
            </w:r>
            <w:r>
              <w:rPr>
                <w:rFonts w:hint="eastAsia" w:eastAsia="黑体"/>
                <w:color w:val="auto"/>
                <w:sz w:val="24"/>
                <w:szCs w:val="24"/>
                <w:highlight w:val="none"/>
                <w:lang w:val="en-US" w:eastAsia="zh-CN"/>
              </w:rPr>
              <w:t>6</w:t>
            </w:r>
            <w:r>
              <w:rPr>
                <w:rFonts w:hint="eastAsia" w:eastAsia="黑体"/>
                <w:color w:val="auto"/>
                <w:sz w:val="24"/>
                <w:szCs w:val="24"/>
                <w:highlight w:val="none"/>
              </w:rPr>
              <w:t>：农田水利设施建设</w:t>
            </w:r>
          </w:p>
        </w:tc>
      </w:tr>
      <w:tr w14:paraId="3C17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0" w:type="dxa"/>
          </w:tcPr>
          <w:p w14:paraId="684A62D4">
            <w:pPr>
              <w:spacing w:line="320" w:lineRule="exact"/>
              <w:ind w:firstLine="422" w:firstLineChars="200"/>
              <w:rPr>
                <w:rFonts w:eastAsia="宋体"/>
                <w:bCs/>
                <w:color w:val="auto"/>
                <w:sz w:val="21"/>
                <w:szCs w:val="21"/>
                <w:highlight w:val="none"/>
              </w:rPr>
            </w:pPr>
            <w:r>
              <w:rPr>
                <w:rFonts w:eastAsia="宋体"/>
                <w:b/>
                <w:color w:val="auto"/>
                <w:sz w:val="21"/>
                <w:szCs w:val="21"/>
                <w:highlight w:val="none"/>
              </w:rPr>
              <w:t>1.</w:t>
            </w:r>
            <w:r>
              <w:rPr>
                <w:rFonts w:hint="eastAsia" w:eastAsia="宋体"/>
                <w:b/>
                <w:color w:val="auto"/>
                <w:sz w:val="21"/>
                <w:szCs w:val="21"/>
                <w:highlight w:val="none"/>
              </w:rPr>
              <w:t>高标准农田建设。</w:t>
            </w:r>
            <w:r>
              <w:rPr>
                <w:rFonts w:hint="eastAsia" w:eastAsia="宋体"/>
                <w:bCs/>
                <w:color w:val="auto"/>
                <w:sz w:val="21"/>
                <w:szCs w:val="21"/>
                <w:highlight w:val="none"/>
              </w:rPr>
              <w:t>建设高标准农田</w:t>
            </w:r>
            <w:r>
              <w:rPr>
                <w:rFonts w:eastAsia="宋体"/>
                <w:bCs/>
                <w:color w:val="auto"/>
                <w:sz w:val="21"/>
                <w:szCs w:val="21"/>
                <w:highlight w:val="none"/>
              </w:rPr>
              <w:t>28</w:t>
            </w:r>
            <w:r>
              <w:rPr>
                <w:rFonts w:hint="eastAsia" w:eastAsia="宋体"/>
                <w:bCs/>
                <w:color w:val="auto"/>
                <w:sz w:val="21"/>
                <w:szCs w:val="21"/>
                <w:highlight w:val="none"/>
              </w:rPr>
              <w:t>万亩，涉及昌黎县</w:t>
            </w:r>
            <w:r>
              <w:rPr>
                <w:rFonts w:eastAsia="宋体"/>
                <w:bCs/>
                <w:color w:val="auto"/>
                <w:sz w:val="21"/>
                <w:szCs w:val="21"/>
                <w:highlight w:val="none"/>
              </w:rPr>
              <w:t>7</w:t>
            </w:r>
            <w:r>
              <w:rPr>
                <w:rFonts w:hint="eastAsia" w:eastAsia="宋体"/>
                <w:bCs/>
                <w:color w:val="auto"/>
                <w:sz w:val="21"/>
                <w:szCs w:val="21"/>
                <w:highlight w:val="none"/>
              </w:rPr>
              <w:t>个乡镇</w:t>
            </w:r>
            <w:r>
              <w:rPr>
                <w:rFonts w:eastAsia="宋体"/>
                <w:bCs/>
                <w:color w:val="auto"/>
                <w:sz w:val="21"/>
                <w:szCs w:val="21"/>
                <w:highlight w:val="none"/>
              </w:rPr>
              <w:t>36</w:t>
            </w:r>
            <w:r>
              <w:rPr>
                <w:rFonts w:hint="eastAsia" w:eastAsia="宋体"/>
                <w:bCs/>
                <w:color w:val="auto"/>
                <w:sz w:val="21"/>
                <w:szCs w:val="21"/>
                <w:highlight w:val="none"/>
              </w:rPr>
              <w:t>个村，卢龙县</w:t>
            </w:r>
            <w:r>
              <w:rPr>
                <w:rFonts w:eastAsia="宋体"/>
                <w:bCs/>
                <w:color w:val="auto"/>
                <w:sz w:val="21"/>
                <w:szCs w:val="21"/>
                <w:highlight w:val="none"/>
              </w:rPr>
              <w:t>4</w:t>
            </w:r>
            <w:r>
              <w:rPr>
                <w:rFonts w:hint="eastAsia" w:eastAsia="宋体"/>
                <w:bCs/>
                <w:color w:val="auto"/>
                <w:sz w:val="21"/>
                <w:szCs w:val="21"/>
                <w:highlight w:val="none"/>
              </w:rPr>
              <w:t>个乡镇，</w:t>
            </w:r>
            <w:r>
              <w:rPr>
                <w:rFonts w:hint="eastAsia" w:eastAsia="宋体"/>
                <w:bCs/>
                <w:color w:val="auto"/>
                <w:sz w:val="21"/>
                <w:szCs w:val="21"/>
                <w:highlight w:val="none"/>
                <w:lang w:eastAsia="zh-CN"/>
              </w:rPr>
              <w:t>青龙满族自治县</w:t>
            </w:r>
            <w:r>
              <w:rPr>
                <w:rFonts w:eastAsia="宋体"/>
                <w:bCs/>
                <w:color w:val="auto"/>
                <w:sz w:val="21"/>
                <w:szCs w:val="21"/>
                <w:highlight w:val="none"/>
              </w:rPr>
              <w:t>4</w:t>
            </w:r>
            <w:r>
              <w:rPr>
                <w:rFonts w:hint="eastAsia" w:eastAsia="宋体"/>
                <w:bCs/>
                <w:color w:val="auto"/>
                <w:sz w:val="21"/>
                <w:szCs w:val="21"/>
                <w:highlight w:val="none"/>
              </w:rPr>
              <w:t>个乡镇，海港区</w:t>
            </w:r>
            <w:r>
              <w:rPr>
                <w:rFonts w:eastAsia="宋体"/>
                <w:bCs/>
                <w:color w:val="auto"/>
                <w:sz w:val="21"/>
                <w:szCs w:val="21"/>
                <w:highlight w:val="none"/>
              </w:rPr>
              <w:t>5</w:t>
            </w:r>
            <w:r>
              <w:rPr>
                <w:rFonts w:hint="eastAsia" w:eastAsia="宋体"/>
                <w:bCs/>
                <w:color w:val="auto"/>
                <w:sz w:val="21"/>
                <w:szCs w:val="21"/>
                <w:highlight w:val="none"/>
              </w:rPr>
              <w:t>个镇，抚宁区</w:t>
            </w:r>
            <w:r>
              <w:rPr>
                <w:rFonts w:eastAsia="宋体"/>
                <w:bCs/>
                <w:color w:val="auto"/>
                <w:sz w:val="21"/>
                <w:szCs w:val="21"/>
                <w:highlight w:val="none"/>
              </w:rPr>
              <w:t>10</w:t>
            </w:r>
            <w:r>
              <w:rPr>
                <w:rFonts w:hint="eastAsia" w:eastAsia="宋体"/>
                <w:bCs/>
                <w:color w:val="auto"/>
                <w:sz w:val="21"/>
                <w:szCs w:val="21"/>
                <w:highlight w:val="none"/>
              </w:rPr>
              <w:t>个乡镇。</w:t>
            </w:r>
            <w:r>
              <w:rPr>
                <w:rFonts w:eastAsia="宋体"/>
                <w:bCs/>
                <w:color w:val="auto"/>
                <w:sz w:val="21"/>
                <w:szCs w:val="21"/>
                <w:highlight w:val="none"/>
              </w:rPr>
              <w:t xml:space="preserve"> </w:t>
            </w:r>
          </w:p>
          <w:p w14:paraId="49DEF5E7">
            <w:pPr>
              <w:spacing w:line="320" w:lineRule="exact"/>
              <w:ind w:firstLine="422" w:firstLineChars="200"/>
              <w:rPr>
                <w:rFonts w:eastAsia="宋体"/>
                <w:bCs/>
                <w:color w:val="auto"/>
                <w:sz w:val="21"/>
                <w:szCs w:val="21"/>
                <w:highlight w:val="none"/>
              </w:rPr>
            </w:pPr>
            <w:r>
              <w:rPr>
                <w:rFonts w:eastAsia="宋体"/>
                <w:b/>
                <w:color w:val="auto"/>
                <w:sz w:val="21"/>
                <w:szCs w:val="21"/>
                <w:highlight w:val="none"/>
              </w:rPr>
              <w:t>2.</w:t>
            </w:r>
            <w:r>
              <w:rPr>
                <w:rFonts w:hint="eastAsia" w:eastAsia="宋体"/>
                <w:b/>
                <w:color w:val="auto"/>
                <w:sz w:val="21"/>
                <w:szCs w:val="21"/>
                <w:highlight w:val="none"/>
              </w:rPr>
              <w:t>防洪安全保障。</w:t>
            </w:r>
            <w:r>
              <w:rPr>
                <w:rFonts w:hint="eastAsia" w:eastAsia="宋体"/>
                <w:bCs/>
                <w:color w:val="auto"/>
                <w:sz w:val="21"/>
                <w:szCs w:val="21"/>
                <w:highlight w:val="none"/>
              </w:rPr>
              <w:t>全市中小河流治理、大中小型病险水库除险加固、重点山洪沟治理</w:t>
            </w:r>
            <w:r>
              <w:rPr>
                <w:rFonts w:hint="eastAsia" w:eastAsia="宋体"/>
                <w:bCs/>
                <w:color w:val="auto"/>
                <w:sz w:val="21"/>
                <w:szCs w:val="21"/>
                <w:highlight w:val="none"/>
                <w:lang w:eastAsia="zh-CN"/>
              </w:rPr>
              <w:t>，</w:t>
            </w:r>
            <w:r>
              <w:rPr>
                <w:rFonts w:hint="eastAsia" w:eastAsia="宋体"/>
                <w:bCs/>
                <w:color w:val="auto"/>
                <w:sz w:val="21"/>
                <w:szCs w:val="21"/>
                <w:highlight w:val="none"/>
              </w:rPr>
              <w:t>昌黎县滦河小埝及险工治理等项目。</w:t>
            </w:r>
          </w:p>
          <w:p w14:paraId="35875B1E">
            <w:pPr>
              <w:spacing w:line="320" w:lineRule="exact"/>
              <w:ind w:firstLine="422" w:firstLineChars="200"/>
              <w:rPr>
                <w:rFonts w:eastAsia="宋体"/>
                <w:bCs/>
                <w:color w:val="auto"/>
                <w:sz w:val="21"/>
                <w:szCs w:val="21"/>
                <w:highlight w:val="none"/>
              </w:rPr>
            </w:pPr>
            <w:r>
              <w:rPr>
                <w:rFonts w:eastAsia="宋体"/>
                <w:b/>
                <w:color w:val="auto"/>
                <w:sz w:val="21"/>
                <w:szCs w:val="21"/>
                <w:highlight w:val="none"/>
              </w:rPr>
              <w:t>3.</w:t>
            </w:r>
            <w:r>
              <w:rPr>
                <w:rFonts w:hint="eastAsia" w:eastAsia="宋体"/>
                <w:b/>
                <w:color w:val="auto"/>
                <w:sz w:val="21"/>
                <w:szCs w:val="21"/>
                <w:highlight w:val="none"/>
              </w:rPr>
              <w:t>水生态安全保障。</w:t>
            </w:r>
            <w:r>
              <w:rPr>
                <w:rFonts w:hint="eastAsia" w:eastAsia="宋体"/>
                <w:bCs/>
                <w:color w:val="auto"/>
                <w:sz w:val="21"/>
                <w:szCs w:val="21"/>
                <w:highlight w:val="none"/>
              </w:rPr>
              <w:t>昌黎县农村灌溉水源置换，全市水土保持工程、坡耕地综合治理等项目。</w:t>
            </w:r>
          </w:p>
          <w:p w14:paraId="71B73D84">
            <w:pPr>
              <w:spacing w:line="320" w:lineRule="exact"/>
              <w:rPr>
                <w:color w:val="auto"/>
                <w:highlight w:val="none"/>
              </w:rPr>
            </w:pPr>
            <w:r>
              <w:rPr>
                <w:rFonts w:eastAsia="宋体"/>
                <w:b/>
                <w:color w:val="auto"/>
                <w:sz w:val="21"/>
                <w:szCs w:val="21"/>
                <w:highlight w:val="none"/>
              </w:rPr>
              <w:t xml:space="preserve">    4.</w:t>
            </w:r>
            <w:r>
              <w:rPr>
                <w:rFonts w:hint="eastAsia" w:eastAsia="宋体"/>
                <w:b/>
                <w:color w:val="auto"/>
                <w:sz w:val="21"/>
                <w:szCs w:val="21"/>
                <w:highlight w:val="none"/>
              </w:rPr>
              <w:t>供水安全保障。</w:t>
            </w:r>
            <w:r>
              <w:rPr>
                <w:rFonts w:hint="eastAsia" w:eastAsia="宋体"/>
                <w:bCs/>
                <w:color w:val="auto"/>
                <w:sz w:val="21"/>
                <w:szCs w:val="21"/>
                <w:highlight w:val="none"/>
              </w:rPr>
              <w:t>石河</w:t>
            </w:r>
            <w:r>
              <w:rPr>
                <w:rFonts w:eastAsia="宋体"/>
                <w:bCs/>
                <w:color w:val="auto"/>
                <w:sz w:val="21"/>
                <w:szCs w:val="21"/>
                <w:highlight w:val="none"/>
              </w:rPr>
              <w:t>—</w:t>
            </w:r>
            <w:r>
              <w:rPr>
                <w:rFonts w:hint="eastAsia" w:eastAsia="宋体"/>
                <w:bCs/>
                <w:color w:val="auto"/>
                <w:sz w:val="21"/>
                <w:szCs w:val="21"/>
                <w:highlight w:val="none"/>
              </w:rPr>
              <w:t>引青济秦供水管线连通工程、抚宁洋河灌区续建配套与现代化改造、昌黎县滦河引水工程、卢龙县石门循环经济产业园工业供水工程、卢龙县引青灌区续建配套与现代化改造、</w:t>
            </w:r>
            <w:r>
              <w:rPr>
                <w:rFonts w:hint="eastAsia" w:eastAsia="宋体"/>
                <w:bCs/>
                <w:color w:val="auto"/>
                <w:sz w:val="21"/>
                <w:szCs w:val="21"/>
                <w:highlight w:val="none"/>
                <w:lang w:eastAsia="zh-CN"/>
              </w:rPr>
              <w:t>青龙满族自治县</w:t>
            </w:r>
            <w:r>
              <w:rPr>
                <w:rFonts w:hint="eastAsia" w:eastAsia="宋体"/>
                <w:bCs/>
                <w:color w:val="auto"/>
                <w:sz w:val="21"/>
                <w:szCs w:val="21"/>
                <w:highlight w:val="none"/>
              </w:rPr>
              <w:t>水胡同水库向县城引水等项目。</w:t>
            </w:r>
          </w:p>
        </w:tc>
      </w:tr>
    </w:tbl>
    <w:p w14:paraId="64A85FBF">
      <w:pPr>
        <w:spacing w:line="560" w:lineRule="exact"/>
        <w:ind w:firstLine="640" w:firstLineChars="200"/>
        <w:outlineLvl w:val="1"/>
        <w:rPr>
          <w:color w:val="auto"/>
          <w:highlight w:val="none"/>
        </w:rPr>
      </w:pPr>
      <w:bookmarkStart w:id="232" w:name="_Toc17886"/>
      <w:bookmarkStart w:id="233" w:name="_Toc21276"/>
      <w:bookmarkStart w:id="234" w:name="_Toc9084"/>
      <w:r>
        <w:rPr>
          <w:rFonts w:hint="eastAsia" w:eastAsia="黑体"/>
          <w:color w:val="auto"/>
          <w:highlight w:val="none"/>
        </w:rPr>
        <w:t>二、着力扩大消费需求</w:t>
      </w:r>
      <w:bookmarkEnd w:id="232"/>
      <w:bookmarkEnd w:id="233"/>
      <w:bookmarkEnd w:id="234"/>
    </w:p>
    <w:p w14:paraId="71B3DA66">
      <w:pPr>
        <w:spacing w:line="560" w:lineRule="exact"/>
        <w:ind w:firstLine="640" w:firstLineChars="200"/>
        <w:rPr>
          <w:rFonts w:eastAsia="仿宋_GB2312"/>
          <w:color w:val="auto"/>
          <w:highlight w:val="none"/>
        </w:rPr>
      </w:pPr>
      <w:r>
        <w:rPr>
          <w:rFonts w:hint="eastAsia" w:eastAsia="仿宋_GB2312"/>
          <w:color w:val="auto"/>
          <w:highlight w:val="none"/>
        </w:rPr>
        <w:t>发挥消费对经济发展的基础性作用，适应居民消费升级趋势，提升传统消费，培育新型消费，以质量品牌为重点，促进消费向绿色、健康、安全发展，以消费升级引领供给结构优化，推动区域消费中心城市建设。</w:t>
      </w:r>
    </w:p>
    <w:p w14:paraId="750C6A7D">
      <w:pPr>
        <w:spacing w:line="560" w:lineRule="exact"/>
        <w:ind w:firstLine="640" w:firstLineChars="200"/>
        <w:outlineLvl w:val="2"/>
        <w:rPr>
          <w:color w:val="auto"/>
          <w:highlight w:val="none"/>
        </w:rPr>
      </w:pPr>
      <w:bookmarkStart w:id="235" w:name="_Toc27703"/>
      <w:bookmarkStart w:id="236" w:name="_Toc6017"/>
      <w:bookmarkStart w:id="237" w:name="_Toc24900"/>
      <w:r>
        <w:rPr>
          <w:rFonts w:hint="eastAsia"/>
          <w:b w:val="0"/>
          <w:bCs w:val="0"/>
          <w:color w:val="auto"/>
          <w:highlight w:val="none"/>
        </w:rPr>
        <w:t>（一）推动跨境电商零售进口试点城市建设</w:t>
      </w:r>
      <w:bookmarkEnd w:id="235"/>
      <w:bookmarkEnd w:id="236"/>
      <w:bookmarkEnd w:id="237"/>
      <w:r>
        <w:rPr>
          <w:color w:val="auto"/>
          <w:highlight w:val="none"/>
        </w:rPr>
        <w:tab/>
      </w:r>
    </w:p>
    <w:p w14:paraId="1AC67D99">
      <w:pPr>
        <w:spacing w:line="560" w:lineRule="exact"/>
        <w:ind w:firstLine="640" w:firstLineChars="200"/>
        <w:rPr>
          <w:rFonts w:eastAsia="仿宋_GB2312"/>
          <w:color w:val="auto"/>
          <w:highlight w:val="none"/>
        </w:rPr>
      </w:pPr>
      <w:r>
        <w:rPr>
          <w:rFonts w:hint="eastAsia" w:eastAsia="仿宋_GB2312"/>
          <w:color w:val="auto"/>
          <w:highlight w:val="none"/>
        </w:rPr>
        <w:t>依托秦皇岛港和综合保税区，完善口岸功能，优化口岸通关环境，提升跨境贸易便利化水平，发展免税店、港货精品店，打造环渤海地区进出口商品集散中心。推动进口商品营销中心提档升级，加大跨境海外仓等基础设施建设，加强与京津冀城市群城市之间货物转关通道合作，提高口岸承载能力和货物转关效率。强化公共服务平台建设，加强与国家标准版国际贸易</w:t>
      </w:r>
      <w:r>
        <w:rPr>
          <w:rFonts w:hint="eastAsia" w:eastAsia="仿宋_GB2312"/>
          <w:color w:val="auto"/>
          <w:highlight w:val="none"/>
          <w:lang w:eastAsia="zh-CN"/>
        </w:rPr>
        <w:t>“</w:t>
      </w:r>
      <w:r>
        <w:rPr>
          <w:rFonts w:hint="eastAsia" w:eastAsia="仿宋_GB2312"/>
          <w:color w:val="auto"/>
          <w:highlight w:val="none"/>
        </w:rPr>
        <w:t>单一窗口</w:t>
      </w:r>
      <w:r>
        <w:rPr>
          <w:rFonts w:hint="eastAsia" w:eastAsia="仿宋_GB2312"/>
          <w:color w:val="auto"/>
          <w:highlight w:val="none"/>
          <w:lang w:eastAsia="zh-CN"/>
        </w:rPr>
        <w:t>”</w:t>
      </w:r>
      <w:r>
        <w:rPr>
          <w:rFonts w:hint="eastAsia" w:eastAsia="仿宋_GB2312"/>
          <w:color w:val="auto"/>
          <w:highlight w:val="none"/>
        </w:rPr>
        <w:t>、通关服务平台的无缝对接，完善平台申报系统，畅通与海关的监管、申报、审批渠道，实时向海关传输相关电子数据，实现交易、支付、物流电子信息</w:t>
      </w:r>
      <w:r>
        <w:rPr>
          <w:rFonts w:hint="eastAsia" w:eastAsia="仿宋_GB2312"/>
          <w:color w:val="auto"/>
          <w:highlight w:val="none"/>
          <w:lang w:eastAsia="zh-CN"/>
        </w:rPr>
        <w:t>“</w:t>
      </w:r>
      <w:r>
        <w:rPr>
          <w:rFonts w:hint="eastAsia" w:eastAsia="仿宋_GB2312"/>
          <w:color w:val="auto"/>
          <w:highlight w:val="none"/>
        </w:rPr>
        <w:t>三单</w:t>
      </w:r>
      <w:r>
        <w:rPr>
          <w:rFonts w:hint="eastAsia" w:eastAsia="仿宋_GB2312"/>
          <w:color w:val="auto"/>
          <w:highlight w:val="none"/>
          <w:lang w:eastAsia="zh-CN"/>
        </w:rPr>
        <w:t>”</w:t>
      </w:r>
      <w:r>
        <w:rPr>
          <w:rFonts w:hint="eastAsia" w:eastAsia="仿宋_GB2312"/>
          <w:color w:val="auto"/>
          <w:highlight w:val="none"/>
        </w:rPr>
        <w:t>对比。加强电子商务主体引进，打造电商企业总部基地，形成龙头带动和示范效应。</w:t>
      </w:r>
    </w:p>
    <w:p w14:paraId="4E723F41">
      <w:pPr>
        <w:spacing w:line="560" w:lineRule="exact"/>
        <w:ind w:firstLine="640" w:firstLineChars="200"/>
        <w:outlineLvl w:val="2"/>
        <w:rPr>
          <w:b/>
          <w:bCs/>
          <w:color w:val="auto"/>
          <w:highlight w:val="none"/>
        </w:rPr>
      </w:pPr>
      <w:bookmarkStart w:id="238" w:name="_Toc27984"/>
      <w:bookmarkStart w:id="239" w:name="_Toc26209"/>
      <w:bookmarkStart w:id="240" w:name="_Toc9309"/>
      <w:r>
        <w:rPr>
          <w:rFonts w:hint="eastAsia"/>
          <w:b w:val="0"/>
          <w:bCs w:val="0"/>
          <w:color w:val="auto"/>
          <w:highlight w:val="none"/>
        </w:rPr>
        <w:t>（二）加快国家体育消费试点城市建设</w:t>
      </w:r>
      <w:bookmarkEnd w:id="238"/>
      <w:bookmarkEnd w:id="239"/>
      <w:bookmarkEnd w:id="240"/>
      <w:r>
        <w:rPr>
          <w:b/>
          <w:bCs/>
          <w:color w:val="auto"/>
          <w:highlight w:val="none"/>
        </w:rPr>
        <w:tab/>
      </w:r>
    </w:p>
    <w:p w14:paraId="2C0B0542">
      <w:pPr>
        <w:spacing w:line="560" w:lineRule="exact"/>
        <w:ind w:firstLine="640" w:firstLineChars="200"/>
        <w:rPr>
          <w:rFonts w:eastAsia="仿宋_GB2312"/>
          <w:color w:val="auto"/>
          <w:highlight w:val="none"/>
        </w:rPr>
      </w:pPr>
      <w:r>
        <w:rPr>
          <w:rFonts w:hint="eastAsia" w:eastAsia="仿宋_GB2312"/>
          <w:color w:val="auto"/>
          <w:highlight w:val="none"/>
        </w:rPr>
        <w:t>深入推进体育消费机制创新、政策创新、模式创新、产品创新，构建以重点项目为牵引，以</w:t>
      </w:r>
      <w:r>
        <w:rPr>
          <w:rFonts w:hint="eastAsia" w:eastAsia="仿宋_GB2312"/>
          <w:color w:val="auto"/>
          <w:highlight w:val="none"/>
          <w:lang w:eastAsia="zh-CN"/>
        </w:rPr>
        <w:t>“</w:t>
      </w:r>
      <w:r>
        <w:rPr>
          <w:rFonts w:hint="eastAsia" w:eastAsia="仿宋_GB2312"/>
          <w:color w:val="auto"/>
          <w:highlight w:val="none"/>
        </w:rPr>
        <w:t>产学研游训赛</w:t>
      </w:r>
      <w:r>
        <w:rPr>
          <w:rFonts w:hint="eastAsia" w:eastAsia="仿宋_GB2312"/>
          <w:color w:val="auto"/>
          <w:highlight w:val="none"/>
          <w:lang w:eastAsia="zh-CN"/>
        </w:rPr>
        <w:t>”</w:t>
      </w:r>
      <w:r>
        <w:rPr>
          <w:rFonts w:hint="eastAsia" w:eastAsia="仿宋_GB2312"/>
          <w:color w:val="auto"/>
          <w:highlight w:val="none"/>
        </w:rPr>
        <w:t>为主要内容的</w:t>
      </w:r>
      <w:r>
        <w:rPr>
          <w:rFonts w:hint="eastAsia" w:eastAsia="仿宋_GB2312"/>
          <w:color w:val="auto"/>
          <w:highlight w:val="none"/>
          <w:lang w:eastAsia="zh-CN"/>
        </w:rPr>
        <w:t>“</w:t>
      </w:r>
      <w:r>
        <w:rPr>
          <w:rFonts w:hint="eastAsia" w:eastAsia="仿宋_GB2312"/>
          <w:color w:val="auto"/>
          <w:highlight w:val="none"/>
        </w:rPr>
        <w:t>两核、两带、三点、三线、五区、网络化</w:t>
      </w:r>
      <w:r>
        <w:rPr>
          <w:rFonts w:hint="eastAsia" w:eastAsia="仿宋_GB2312"/>
          <w:color w:val="auto"/>
          <w:highlight w:val="none"/>
          <w:lang w:eastAsia="zh-CN"/>
        </w:rPr>
        <w:t>”</w:t>
      </w:r>
      <w:r>
        <w:rPr>
          <w:rFonts w:hint="eastAsia" w:eastAsia="仿宋_GB2312"/>
          <w:color w:val="auto"/>
          <w:highlight w:val="none"/>
        </w:rPr>
        <w:t>体育消费生态圈</w:t>
      </w:r>
      <w:r>
        <w:rPr>
          <w:rFonts w:hint="eastAsia" w:eastAsia="仿宋_GB2312"/>
          <w:color w:val="auto"/>
          <w:highlight w:val="none"/>
          <w:lang w:eastAsia="zh-CN"/>
        </w:rPr>
        <w:t>。</w:t>
      </w:r>
      <w:r>
        <w:rPr>
          <w:rFonts w:hint="eastAsia" w:eastAsia="仿宋_GB2312"/>
          <w:color w:val="auto"/>
          <w:highlight w:val="none"/>
        </w:rPr>
        <w:t>推动体育与旅游、康养、教育融合，实施体育旅游精品示范工程，发展体育融合健康服务项目；开发智慧体育系统，建设体育用品大型仓储基地，打造国内外体育用品集散地，发展体育用品跨境电商产业；打造产业孵化平台和健康服务平台，支持体育产品制造业发展，研究体育健康服务方案，形成产业集群；设立特色体育培训学校，形成人才培养优势，提升竞技体育水平；培育</w:t>
      </w:r>
      <w:r>
        <w:rPr>
          <w:rFonts w:hint="eastAsia" w:eastAsia="仿宋_GB2312"/>
          <w:color w:val="auto"/>
          <w:highlight w:val="none"/>
          <w:lang w:eastAsia="zh-CN"/>
        </w:rPr>
        <w:t>“</w:t>
      </w:r>
      <w:r>
        <w:rPr>
          <w:rFonts w:hint="eastAsia" w:eastAsia="仿宋_GB2312"/>
          <w:color w:val="auto"/>
          <w:highlight w:val="none"/>
        </w:rPr>
        <w:t>赛事经济</w:t>
      </w:r>
      <w:r>
        <w:rPr>
          <w:rFonts w:hint="eastAsia" w:eastAsia="仿宋_GB2312"/>
          <w:color w:val="auto"/>
          <w:highlight w:val="none"/>
          <w:lang w:eastAsia="zh-CN"/>
        </w:rPr>
        <w:t>”</w:t>
      </w:r>
      <w:r>
        <w:rPr>
          <w:rFonts w:hint="eastAsia" w:eastAsia="仿宋_GB2312"/>
          <w:color w:val="auto"/>
          <w:highlight w:val="none"/>
        </w:rPr>
        <w:t>，提高秦皇岛国际马拉松赛、北戴河轮滑节等精品体育赛事活动的服务水平和市场参与度，打造品牌赛事</w:t>
      </w:r>
      <w:r>
        <w:rPr>
          <w:rFonts w:eastAsia="仿宋_GB2312"/>
          <w:color w:val="auto"/>
          <w:highlight w:val="none"/>
        </w:rPr>
        <w:t>IP</w:t>
      </w:r>
      <w:r>
        <w:rPr>
          <w:rFonts w:hint="eastAsia" w:eastAsia="仿宋_GB2312"/>
          <w:color w:val="auto"/>
          <w:highlight w:val="none"/>
        </w:rPr>
        <w:t>；依托中国足球学校教育资源，做大做强足球赛事和培训，继承亚运遗产，发展海上体育经济，释放北部山区资源优势，推广山地户外运动项目，加快培育冰雪产业，</w:t>
      </w:r>
      <w:r>
        <w:rPr>
          <w:rFonts w:hint="eastAsia" w:eastAsia="仿宋_GB2312"/>
          <w:color w:val="auto"/>
          <w:highlight w:val="none"/>
          <w:lang w:eastAsia="zh-CN"/>
        </w:rPr>
        <w:t>广泛开展</w:t>
      </w:r>
      <w:r>
        <w:rPr>
          <w:rFonts w:hint="eastAsia" w:eastAsia="仿宋_GB2312"/>
          <w:color w:val="auto"/>
          <w:kern w:val="0"/>
          <w:highlight w:val="none"/>
        </w:rPr>
        <w:t>群众</w:t>
      </w:r>
      <w:r>
        <w:rPr>
          <w:rFonts w:hint="eastAsia" w:eastAsia="仿宋_GB2312"/>
          <w:color w:val="auto"/>
          <w:kern w:val="0"/>
          <w:highlight w:val="none"/>
          <w:lang w:eastAsia="zh-CN"/>
        </w:rPr>
        <w:t>性</w:t>
      </w:r>
      <w:r>
        <w:rPr>
          <w:rFonts w:hint="eastAsia" w:eastAsia="仿宋_GB2312"/>
          <w:color w:val="auto"/>
          <w:kern w:val="0"/>
          <w:highlight w:val="none"/>
        </w:rPr>
        <w:t>冰雪运动活动</w:t>
      </w:r>
      <w:r>
        <w:rPr>
          <w:rFonts w:hint="eastAsia" w:eastAsia="仿宋_GB2312"/>
          <w:color w:val="auto"/>
          <w:kern w:val="0"/>
          <w:highlight w:val="none"/>
          <w:lang w:eastAsia="zh-CN"/>
        </w:rPr>
        <w:t>，</w:t>
      </w:r>
      <w:r>
        <w:rPr>
          <w:rFonts w:hint="eastAsia" w:eastAsia="仿宋_GB2312"/>
          <w:color w:val="auto"/>
          <w:highlight w:val="none"/>
        </w:rPr>
        <w:t>将冰雪运动打造为旅游发展的新引擎；举办</w:t>
      </w:r>
      <w:r>
        <w:rPr>
          <w:rFonts w:hint="eastAsia" w:eastAsia="仿宋_GB2312"/>
          <w:color w:val="auto"/>
          <w:highlight w:val="none"/>
          <w:lang w:eastAsia="zh-CN"/>
        </w:rPr>
        <w:t>“</w:t>
      </w:r>
      <w:r>
        <w:rPr>
          <w:rFonts w:hint="eastAsia" w:eastAsia="仿宋_GB2312"/>
          <w:color w:val="auto"/>
          <w:highlight w:val="none"/>
        </w:rPr>
        <w:t>体育产业展示大会</w:t>
      </w:r>
      <w:r>
        <w:rPr>
          <w:rFonts w:hint="eastAsia" w:eastAsia="仿宋_GB2312"/>
          <w:color w:val="auto"/>
          <w:highlight w:val="none"/>
          <w:lang w:eastAsia="zh-CN"/>
        </w:rPr>
        <w:t>”</w:t>
      </w:r>
      <w:r>
        <w:rPr>
          <w:rFonts w:hint="eastAsia" w:eastAsia="仿宋_GB2312"/>
          <w:color w:val="auto"/>
          <w:highlight w:val="none"/>
        </w:rPr>
        <w:t>，发展会展经济，全力打造奥体中心体育综合体商圈、西沙滩路体育用品商圈、人民广场体育休闲商圈；完善市场主体，推进体育类社会团体优化提升，扶持非企业法人经营活动，促进项目俱乐部发展；培养健身技能，扶持俱乐部建设社区健身房，增强体育消费粘性，激活健身培训市场。</w:t>
      </w:r>
    </w:p>
    <w:p w14:paraId="0B4EA37E">
      <w:pPr>
        <w:pStyle w:val="9"/>
        <w:spacing w:after="0" w:line="560" w:lineRule="exact"/>
        <w:ind w:left="0" w:leftChars="0" w:firstLine="470" w:firstLineChars="147"/>
        <w:outlineLvl w:val="2"/>
        <w:rPr>
          <w:rFonts w:eastAsia="楷体"/>
          <w:b/>
          <w:color w:val="auto"/>
          <w:highlight w:val="none"/>
        </w:rPr>
      </w:pPr>
      <w:bookmarkStart w:id="241" w:name="_Toc7973"/>
      <w:bookmarkStart w:id="242" w:name="_Toc1517"/>
      <w:bookmarkStart w:id="243" w:name="_Toc3635"/>
      <w:r>
        <w:rPr>
          <w:rFonts w:hint="eastAsia" w:eastAsia="楷体"/>
          <w:b w:val="0"/>
          <w:bCs/>
          <w:color w:val="auto"/>
          <w:highlight w:val="none"/>
        </w:rPr>
        <w:t>（三）积极创建国家文化和旅游消费试点城市</w:t>
      </w:r>
      <w:bookmarkEnd w:id="241"/>
      <w:bookmarkEnd w:id="242"/>
      <w:bookmarkEnd w:id="243"/>
      <w:r>
        <w:rPr>
          <w:rFonts w:eastAsia="楷体"/>
          <w:b/>
          <w:color w:val="auto"/>
          <w:highlight w:val="none"/>
        </w:rPr>
        <w:tab/>
      </w:r>
    </w:p>
    <w:p w14:paraId="2BA9F21D">
      <w:pPr>
        <w:spacing w:line="560" w:lineRule="exact"/>
        <w:ind w:firstLine="640" w:firstLineChars="200"/>
        <w:rPr>
          <w:rFonts w:eastAsia="仿宋_GB2312"/>
          <w:color w:val="auto"/>
          <w:highlight w:val="none"/>
        </w:rPr>
      </w:pPr>
      <w:r>
        <w:rPr>
          <w:rFonts w:hint="eastAsia" w:eastAsia="仿宋_GB2312"/>
          <w:color w:val="auto"/>
          <w:highlight w:val="none"/>
        </w:rPr>
        <w:t>着力开发商务会展旅游、康养旅游、邮轮游艇旅游、非物质文化遗产主题旅游等业态产品。引导文化和旅游场所增加参与式、体验式消费项目，开发一批适应游客需求的旅游线路、目的地、旅游演艺及特色商品。鼓励建设集合文创商店、特色书店、小剧场、文化娱乐场所等多种业态的消费集聚地，打造一批具有文旅特色的高品位休闲街区和度假产品，培育一批网红打卡新地标。优化百货商场、购物中心规划布局，打造茂业天地、万达广场等商圈，打造一批特色风貌街区和</w:t>
      </w:r>
      <w:r>
        <w:rPr>
          <w:rFonts w:hint="eastAsia" w:eastAsia="仿宋_GB2312"/>
          <w:color w:val="auto"/>
          <w:highlight w:val="none"/>
          <w:lang w:eastAsia="zh-CN"/>
        </w:rPr>
        <w:t>“</w:t>
      </w:r>
      <w:r>
        <w:rPr>
          <w:rFonts w:hint="eastAsia" w:eastAsia="仿宋_GB2312"/>
          <w:color w:val="auto"/>
          <w:highlight w:val="none"/>
        </w:rPr>
        <w:t>夜经济</w:t>
      </w:r>
      <w:r>
        <w:rPr>
          <w:rFonts w:hint="eastAsia" w:eastAsia="仿宋_GB2312"/>
          <w:color w:val="auto"/>
          <w:highlight w:val="none"/>
          <w:lang w:eastAsia="zh-CN"/>
        </w:rPr>
        <w:t>”</w:t>
      </w:r>
      <w:r>
        <w:rPr>
          <w:rFonts w:hint="eastAsia" w:eastAsia="仿宋_GB2312"/>
          <w:color w:val="auto"/>
          <w:highlight w:val="none"/>
        </w:rPr>
        <w:t>街区。提升</w:t>
      </w:r>
      <w:r>
        <w:rPr>
          <w:rFonts w:hint="eastAsia" w:eastAsia="仿宋_GB2312"/>
          <w:color w:val="auto"/>
          <w:highlight w:val="none"/>
          <w:lang w:eastAsia="zh-CN"/>
        </w:rPr>
        <w:t>“</w:t>
      </w:r>
      <w:r>
        <w:rPr>
          <w:rFonts w:hint="eastAsia" w:eastAsia="仿宋_GB2312"/>
          <w:color w:val="auto"/>
          <w:highlight w:val="none"/>
        </w:rPr>
        <w:t>秦皇岛礼物</w:t>
      </w:r>
      <w:r>
        <w:rPr>
          <w:rFonts w:hint="eastAsia" w:eastAsia="仿宋_GB2312"/>
          <w:color w:val="auto"/>
          <w:highlight w:val="none"/>
          <w:lang w:eastAsia="zh-CN"/>
        </w:rPr>
        <w:t>”</w:t>
      </w:r>
      <w:r>
        <w:rPr>
          <w:rFonts w:hint="eastAsia" w:eastAsia="仿宋_GB2312"/>
          <w:color w:val="auto"/>
          <w:highlight w:val="none"/>
        </w:rPr>
        <w:t>品质，打造一批京津冀都市圈的时尚生活补给站、国内外新品首发地、原创品牌集聚地、文化旅游新地标、全民聚会新空间，着力培育区域消费中心。</w:t>
      </w:r>
    </w:p>
    <w:p w14:paraId="559DF03F">
      <w:pPr>
        <w:spacing w:line="560" w:lineRule="exact"/>
        <w:ind w:firstLine="640" w:firstLineChars="200"/>
        <w:outlineLvl w:val="2"/>
        <w:rPr>
          <w:b w:val="0"/>
          <w:bCs w:val="0"/>
          <w:color w:val="auto"/>
          <w:highlight w:val="none"/>
        </w:rPr>
      </w:pPr>
      <w:bookmarkStart w:id="244" w:name="_Toc23785"/>
      <w:bookmarkStart w:id="245" w:name="_Toc24711"/>
      <w:bookmarkStart w:id="246" w:name="_Toc22530"/>
      <w:r>
        <w:rPr>
          <w:rFonts w:hint="eastAsia"/>
          <w:b w:val="0"/>
          <w:bCs w:val="0"/>
          <w:color w:val="auto"/>
          <w:highlight w:val="none"/>
        </w:rPr>
        <w:t>（四）培育壮大消费新热点</w:t>
      </w:r>
      <w:bookmarkEnd w:id="244"/>
      <w:bookmarkEnd w:id="245"/>
      <w:bookmarkEnd w:id="246"/>
      <w:r>
        <w:rPr>
          <w:b w:val="0"/>
          <w:bCs w:val="0"/>
          <w:color w:val="auto"/>
          <w:highlight w:val="none"/>
        </w:rPr>
        <w:tab/>
      </w:r>
    </w:p>
    <w:p w14:paraId="60CDD5D5">
      <w:pPr>
        <w:spacing w:line="560" w:lineRule="exact"/>
        <w:ind w:firstLine="640" w:firstLineChars="200"/>
        <w:rPr>
          <w:rFonts w:eastAsia="仿宋_GB2312"/>
          <w:color w:val="auto"/>
          <w:highlight w:val="none"/>
        </w:rPr>
      </w:pPr>
      <w:r>
        <w:rPr>
          <w:rFonts w:hint="eastAsia" w:eastAsia="仿宋_GB2312"/>
          <w:color w:val="auto"/>
          <w:highlight w:val="none"/>
        </w:rPr>
        <w:t>积极推动家政服务业提质扩容，开展家政师资素质提升行动，培育一批家政服务重点企业（基地），扩大家政服务供给规模</w:t>
      </w:r>
      <w:r>
        <w:rPr>
          <w:rFonts w:hint="eastAsia" w:eastAsia="仿宋_GB2312"/>
          <w:color w:val="auto"/>
          <w:highlight w:val="none"/>
          <w:lang w:eastAsia="zh-CN"/>
        </w:rPr>
        <w:t>，</w:t>
      </w:r>
      <w:r>
        <w:rPr>
          <w:rFonts w:hint="eastAsia" w:eastAsia="仿宋_GB2312"/>
          <w:color w:val="auto"/>
          <w:highlight w:val="none"/>
        </w:rPr>
        <w:t>开展巾帼家政示范基地、</w:t>
      </w:r>
      <w:r>
        <w:rPr>
          <w:rFonts w:hint="eastAsia" w:eastAsia="仿宋_GB2312"/>
          <w:color w:val="auto"/>
          <w:highlight w:val="none"/>
          <w:lang w:eastAsia="zh-CN"/>
        </w:rPr>
        <w:t>“</w:t>
      </w:r>
      <w:r>
        <w:rPr>
          <w:rFonts w:hint="eastAsia" w:eastAsia="仿宋_GB2312"/>
          <w:color w:val="auto"/>
          <w:highlight w:val="none"/>
        </w:rPr>
        <w:t>港城福嫂</w:t>
      </w:r>
      <w:r>
        <w:rPr>
          <w:rFonts w:hint="eastAsia" w:eastAsia="仿宋_GB2312"/>
          <w:color w:val="auto"/>
          <w:highlight w:val="none"/>
          <w:lang w:eastAsia="zh-CN"/>
        </w:rPr>
        <w:t>”</w:t>
      </w:r>
      <w:r>
        <w:rPr>
          <w:rFonts w:hint="eastAsia" w:eastAsia="仿宋_GB2312"/>
          <w:color w:val="auto"/>
          <w:highlight w:val="none"/>
        </w:rPr>
        <w:t>等先进典型选树活动，打造秦皇岛巾帼家政服务品牌。大力发展数字智能消费，积极推广可穿戴设备、移动智能终端、医疗电子、智能汽车等智能化产品消费，丰富</w:t>
      </w:r>
      <w:r>
        <w:rPr>
          <w:rFonts w:eastAsia="仿宋_GB2312"/>
          <w:color w:val="auto"/>
          <w:highlight w:val="none"/>
        </w:rPr>
        <w:t>5G</w:t>
      </w:r>
      <w:r>
        <w:rPr>
          <w:rFonts w:hint="eastAsia" w:eastAsia="仿宋_GB2312"/>
          <w:color w:val="auto"/>
          <w:highlight w:val="none"/>
        </w:rPr>
        <w:t>应用场景，推动虚拟现实、增强现实等前沿消费产品创新发展</w:t>
      </w:r>
      <w:r>
        <w:rPr>
          <w:rFonts w:hint="eastAsia" w:eastAsia="仿宋_GB2312"/>
          <w:color w:val="auto"/>
          <w:highlight w:val="none"/>
          <w:lang w:eastAsia="zh-CN"/>
        </w:rPr>
        <w:t>。</w:t>
      </w:r>
      <w:r>
        <w:rPr>
          <w:rFonts w:hint="eastAsia" w:eastAsia="仿宋_GB2312"/>
          <w:color w:val="auto"/>
          <w:highlight w:val="none"/>
        </w:rPr>
        <w:t>有序引导消费模式创新，积极培育定制消费、体验消费、无人零售、近场零售等消费新模式，提供精准推送、虚拟体验等新服务。着力推进夜经济等重点商圈、特色街区建设，创建夜经济活动品牌，合理有序推动地摊经济发展。积极发展</w:t>
      </w:r>
      <w:r>
        <w:rPr>
          <w:rFonts w:hint="eastAsia" w:eastAsia="仿宋_GB2312"/>
          <w:color w:val="auto"/>
          <w:highlight w:val="none"/>
          <w:lang w:eastAsia="zh-CN"/>
        </w:rPr>
        <w:t>“</w:t>
      </w:r>
      <w:r>
        <w:rPr>
          <w:rFonts w:hint="eastAsia" w:eastAsia="仿宋_GB2312"/>
          <w:color w:val="auto"/>
          <w:highlight w:val="none"/>
        </w:rPr>
        <w:t>首店经济</w:t>
      </w:r>
      <w:r>
        <w:rPr>
          <w:rFonts w:hint="eastAsia" w:eastAsia="仿宋_GB2312"/>
          <w:color w:val="auto"/>
          <w:highlight w:val="none"/>
          <w:lang w:eastAsia="zh-CN"/>
        </w:rPr>
        <w:t>”</w:t>
      </w:r>
      <w:r>
        <w:rPr>
          <w:rFonts w:hint="eastAsia" w:eastAsia="仿宋_GB2312"/>
          <w:color w:val="auto"/>
          <w:highlight w:val="none"/>
        </w:rPr>
        <w:t>，以西港片区、金梦海湾片区、火车站片区为重点，鼓励大型高端商业综合体、购物中心及高端商务楼宇招引集聚各类品牌首店。</w:t>
      </w:r>
    </w:p>
    <w:p w14:paraId="2FA6C150">
      <w:pPr>
        <w:spacing w:line="560" w:lineRule="exact"/>
        <w:ind w:firstLine="640" w:firstLineChars="200"/>
        <w:outlineLvl w:val="2"/>
        <w:rPr>
          <w:b w:val="0"/>
          <w:bCs w:val="0"/>
          <w:color w:val="auto"/>
          <w:highlight w:val="none"/>
        </w:rPr>
      </w:pPr>
      <w:bookmarkStart w:id="247" w:name="_Toc14617"/>
      <w:bookmarkStart w:id="248" w:name="_Toc19405"/>
      <w:bookmarkStart w:id="249" w:name="_Toc6998"/>
      <w:bookmarkStart w:id="250" w:name="_Toc19177"/>
      <w:r>
        <w:rPr>
          <w:rFonts w:hint="eastAsia"/>
          <w:b w:val="0"/>
          <w:bCs w:val="0"/>
          <w:color w:val="auto"/>
          <w:highlight w:val="none"/>
        </w:rPr>
        <w:t>（五）优化消费环境</w:t>
      </w:r>
      <w:bookmarkEnd w:id="247"/>
      <w:bookmarkEnd w:id="248"/>
      <w:bookmarkEnd w:id="249"/>
      <w:bookmarkEnd w:id="250"/>
    </w:p>
    <w:p w14:paraId="557B69C6">
      <w:pPr>
        <w:spacing w:line="560" w:lineRule="exact"/>
        <w:ind w:firstLine="640" w:firstLineChars="200"/>
        <w:rPr>
          <w:rFonts w:eastAsia="仿宋_GB2312"/>
          <w:color w:val="auto"/>
          <w:highlight w:val="none"/>
        </w:rPr>
      </w:pPr>
      <w:r>
        <w:rPr>
          <w:rFonts w:hint="eastAsia" w:eastAsia="仿宋_GB2312"/>
          <w:color w:val="auto"/>
          <w:highlight w:val="none"/>
        </w:rPr>
        <w:t>加快城乡消费网络布局建设，规划建设以县城和重点镇为载体的城乡融合消费网络节点，推动城乡商业网点、社区便民商圈建设，支持电商和物流企业向乡镇农村延伸，繁荣农村消费市场。持续完善交通、市场、物流、配送等消费基础设施，健全流通网络和售后服务体系。培育壮大一批具有竞争力的现代商贸流通企业。清理并取消各种限制消费政策，落实带薪休假制度，扩大节假日消费。实施秦皇岛知名品牌培育宣介行动和放心消费工程，加强消费领域诚信体系和质量认证体系建设，强化反垄断、反不正当竞争，加大消费者权益保护力度，营造放心消费环境。</w:t>
      </w:r>
    </w:p>
    <w:p w14:paraId="60A99AAC">
      <w:pPr>
        <w:spacing w:line="560" w:lineRule="exact"/>
        <w:ind w:firstLine="646"/>
        <w:outlineLvl w:val="1"/>
        <w:rPr>
          <w:rFonts w:eastAsia="黑体"/>
          <w:color w:val="auto"/>
          <w:highlight w:val="none"/>
        </w:rPr>
      </w:pPr>
      <w:bookmarkStart w:id="251" w:name="_Toc25680"/>
      <w:bookmarkStart w:id="252" w:name="_Toc28143"/>
      <w:bookmarkStart w:id="253" w:name="_Toc4925"/>
      <w:r>
        <w:rPr>
          <w:rFonts w:hint="eastAsia" w:eastAsia="黑体"/>
          <w:color w:val="auto"/>
          <w:highlight w:val="none"/>
        </w:rPr>
        <w:t>三、开拓多元化国际市场</w:t>
      </w:r>
      <w:bookmarkEnd w:id="251"/>
      <w:bookmarkEnd w:id="252"/>
      <w:bookmarkEnd w:id="253"/>
      <w:r>
        <w:rPr>
          <w:rFonts w:eastAsia="黑体"/>
          <w:color w:val="auto"/>
          <w:highlight w:val="none"/>
        </w:rPr>
        <w:tab/>
      </w:r>
    </w:p>
    <w:p w14:paraId="617457B6">
      <w:pPr>
        <w:spacing w:line="560" w:lineRule="exact"/>
        <w:ind w:firstLine="640" w:firstLineChars="200"/>
        <w:rPr>
          <w:rFonts w:eastAsia="仿宋_GB2312"/>
          <w:color w:val="auto"/>
          <w:highlight w:val="none"/>
        </w:rPr>
      </w:pPr>
      <w:bookmarkStart w:id="254" w:name="_Toc12501"/>
      <w:r>
        <w:rPr>
          <w:rFonts w:hint="eastAsia" w:eastAsia="仿宋_GB2312"/>
          <w:color w:val="auto"/>
          <w:highlight w:val="none"/>
        </w:rPr>
        <w:t>坚持双向合作、优势互补、质效同进，瞄准中高端产业发力，面向国际市场需求攻关，加快优势产能、优势产品走出去，倾力打造开放发展新高地。</w:t>
      </w:r>
    </w:p>
    <w:p w14:paraId="5A930434">
      <w:pPr>
        <w:spacing w:line="560" w:lineRule="exact"/>
        <w:ind w:firstLine="640" w:firstLineChars="200"/>
        <w:outlineLvl w:val="2"/>
        <w:rPr>
          <w:b w:val="0"/>
          <w:bCs w:val="0"/>
          <w:color w:val="auto"/>
          <w:highlight w:val="none"/>
        </w:rPr>
      </w:pPr>
      <w:bookmarkStart w:id="255" w:name="_Toc27464"/>
      <w:bookmarkStart w:id="256" w:name="_Toc7193"/>
      <w:r>
        <w:rPr>
          <w:rFonts w:hint="eastAsia"/>
          <w:b w:val="0"/>
          <w:bCs w:val="0"/>
          <w:color w:val="auto"/>
          <w:highlight w:val="none"/>
        </w:rPr>
        <w:t>（一）培育国际竞争新优势</w:t>
      </w:r>
      <w:bookmarkEnd w:id="254"/>
      <w:bookmarkEnd w:id="255"/>
      <w:bookmarkEnd w:id="256"/>
    </w:p>
    <w:p w14:paraId="3894DE6D">
      <w:pPr>
        <w:spacing w:line="560" w:lineRule="exact"/>
        <w:ind w:firstLine="640" w:firstLineChars="200"/>
        <w:rPr>
          <w:rFonts w:eastAsia="仿宋_GB2312"/>
          <w:color w:val="auto"/>
          <w:highlight w:val="none"/>
        </w:rPr>
      </w:pPr>
      <w:r>
        <w:rPr>
          <w:rFonts w:hint="eastAsia" w:eastAsia="仿宋_GB2312"/>
          <w:color w:val="auto"/>
          <w:highlight w:val="none"/>
        </w:rPr>
        <w:t>实施内外销产品同线同标同质工程，推动内需和外需、进口和出口、引进外资和对外投资协调发展。瞄准全球价值链中高端产业发力，推动高技术、高品质、高附加值产品和装备制造产品出口，加快发展加工贸易和其他贸易，大力发展服务贸易，促进服务贸易和货物贸易协调发展，逐步形成以技术、标准、品牌、质量、服务为核心的国际竞争新优势，提高秦皇岛品牌的国际知名度和市场占有率。积极培育贸易新业态新模式，推动跨境电子商务发展，开展跨境电商网购保税进口业务。支持外贸企业培育行业品牌、知名商号，将</w:t>
      </w:r>
      <w:r>
        <w:rPr>
          <w:rFonts w:hint="eastAsia" w:eastAsia="仿宋_GB2312"/>
          <w:color w:val="auto"/>
          <w:highlight w:val="none"/>
          <w:lang w:eastAsia="zh-CN"/>
        </w:rPr>
        <w:t>“</w:t>
      </w:r>
      <w:r>
        <w:rPr>
          <w:rFonts w:hint="eastAsia" w:eastAsia="仿宋_GB2312"/>
          <w:color w:val="auto"/>
          <w:highlight w:val="none"/>
        </w:rPr>
        <w:t>秦皇岛品牌</w:t>
      </w:r>
      <w:r>
        <w:rPr>
          <w:rFonts w:hint="eastAsia" w:eastAsia="仿宋_GB2312"/>
          <w:color w:val="auto"/>
          <w:highlight w:val="none"/>
          <w:lang w:eastAsia="zh-CN"/>
        </w:rPr>
        <w:t>”</w:t>
      </w:r>
      <w:r>
        <w:rPr>
          <w:rFonts w:hint="eastAsia" w:eastAsia="仿宋_GB2312"/>
          <w:color w:val="auto"/>
          <w:highlight w:val="none"/>
        </w:rPr>
        <w:t>向</w:t>
      </w:r>
      <w:r>
        <w:rPr>
          <w:rFonts w:hint="eastAsia" w:eastAsia="仿宋_GB2312"/>
          <w:color w:val="auto"/>
          <w:highlight w:val="none"/>
          <w:lang w:eastAsia="zh-CN"/>
        </w:rPr>
        <w:t>“</w:t>
      </w:r>
      <w:r>
        <w:rPr>
          <w:rFonts w:hint="eastAsia" w:eastAsia="仿宋_GB2312"/>
          <w:color w:val="auto"/>
          <w:highlight w:val="none"/>
        </w:rPr>
        <w:t>国际品牌</w:t>
      </w:r>
      <w:r>
        <w:rPr>
          <w:rFonts w:hint="eastAsia" w:eastAsia="仿宋_GB2312"/>
          <w:color w:val="auto"/>
          <w:highlight w:val="none"/>
          <w:lang w:eastAsia="zh-CN"/>
        </w:rPr>
        <w:t>”</w:t>
      </w:r>
      <w:r>
        <w:rPr>
          <w:rFonts w:hint="eastAsia" w:eastAsia="仿宋_GB2312"/>
          <w:color w:val="auto"/>
          <w:highlight w:val="none"/>
        </w:rPr>
        <w:t>升级。加快出口基地建设，培育提升海关特殊监管区、开发区（高新区）、县域特色产业外贸基地等转型发展平台。以国际产能合作和高端要素并购为重点，用好合作机制，搭建合作平台，注重风险防控，促进对外投资合作稳步健康发展。</w:t>
      </w:r>
    </w:p>
    <w:p w14:paraId="37DF7590">
      <w:pPr>
        <w:spacing w:line="560" w:lineRule="exact"/>
        <w:ind w:firstLine="640" w:firstLineChars="200"/>
        <w:outlineLvl w:val="2"/>
        <w:rPr>
          <w:rFonts w:eastAsia="仿宋"/>
          <w:b w:val="0"/>
          <w:bCs w:val="0"/>
          <w:color w:val="auto"/>
          <w:highlight w:val="none"/>
        </w:rPr>
      </w:pPr>
      <w:bookmarkStart w:id="257" w:name="_Toc21423"/>
      <w:bookmarkStart w:id="258" w:name="_Toc30815"/>
      <w:bookmarkStart w:id="259" w:name="_Toc21148"/>
      <w:r>
        <w:rPr>
          <w:rFonts w:hint="eastAsia"/>
          <w:b w:val="0"/>
          <w:bCs w:val="0"/>
          <w:color w:val="auto"/>
          <w:highlight w:val="none"/>
        </w:rPr>
        <w:t>（二）积极拓展国际市场需求</w:t>
      </w:r>
      <w:bookmarkEnd w:id="257"/>
      <w:bookmarkEnd w:id="258"/>
      <w:bookmarkEnd w:id="259"/>
    </w:p>
    <w:p w14:paraId="632649FC">
      <w:pPr>
        <w:spacing w:line="560" w:lineRule="exact"/>
        <w:ind w:firstLine="640" w:firstLineChars="200"/>
        <w:rPr>
          <w:rFonts w:hint="eastAsia" w:eastAsia="仿宋_GB2312"/>
          <w:color w:val="auto"/>
          <w:highlight w:val="none"/>
        </w:rPr>
      </w:pPr>
      <w:bookmarkStart w:id="260" w:name="_Toc12580"/>
      <w:r>
        <w:rPr>
          <w:rFonts w:hint="eastAsia" w:eastAsia="仿宋_GB2312"/>
          <w:color w:val="auto"/>
          <w:highlight w:val="none"/>
        </w:rPr>
        <w:t>开拓多元化市场，深耕美、欧、日、韩等市场，强化东盟、金砖国家及</w:t>
      </w:r>
      <w:r>
        <w:rPr>
          <w:rFonts w:hint="eastAsia" w:eastAsia="仿宋_GB2312"/>
          <w:color w:val="auto"/>
          <w:highlight w:val="none"/>
          <w:lang w:eastAsia="zh-CN"/>
        </w:rPr>
        <w:t>“</w:t>
      </w:r>
      <w:r>
        <w:rPr>
          <w:rFonts w:hint="eastAsia" w:eastAsia="仿宋_GB2312"/>
          <w:color w:val="auto"/>
          <w:highlight w:val="none"/>
        </w:rPr>
        <w:t>一带一路</w:t>
      </w:r>
      <w:r>
        <w:rPr>
          <w:rFonts w:hint="eastAsia" w:eastAsia="仿宋_GB2312"/>
          <w:color w:val="auto"/>
          <w:highlight w:val="none"/>
          <w:lang w:eastAsia="zh-CN"/>
        </w:rPr>
        <w:t>”</w:t>
      </w:r>
      <w:r>
        <w:rPr>
          <w:rFonts w:hint="eastAsia" w:eastAsia="仿宋_GB2312"/>
          <w:color w:val="auto"/>
          <w:highlight w:val="none"/>
        </w:rPr>
        <w:t>沿线国家贸易，挖掘俄罗斯等东欧国家、东南亚、中东及拉美市场潜力，千方百计增加我市的机电产品、农产品、钢材、纺织服装、轻工等产品出口，加快形成重点突出、层次分明、渠道多元、风险分散的市场分布新格局。组织支持企业参加广交会、</w:t>
      </w:r>
      <w:r>
        <w:rPr>
          <w:rFonts w:hint="eastAsia" w:eastAsia="仿宋_GB2312"/>
          <w:color w:val="auto"/>
          <w:highlight w:val="none"/>
          <w:lang w:eastAsia="zh-CN"/>
        </w:rPr>
        <w:t>进博</w:t>
      </w:r>
      <w:r>
        <w:rPr>
          <w:rFonts w:hint="eastAsia" w:eastAsia="仿宋_GB2312"/>
          <w:color w:val="auto"/>
          <w:highlight w:val="none"/>
        </w:rPr>
        <w:t>会等国际性展会，巩固传统市场，开拓新兴市场。</w:t>
      </w:r>
      <w:r>
        <w:rPr>
          <w:rFonts w:hint="eastAsia" w:eastAsia="仿宋_GB2312"/>
          <w:color w:val="auto"/>
          <w:highlight w:val="none"/>
          <w:lang w:eastAsia="zh-CN"/>
        </w:rPr>
        <w:t>鼓励</w:t>
      </w:r>
      <w:r>
        <w:rPr>
          <w:rFonts w:hint="eastAsia" w:eastAsia="仿宋_GB2312"/>
          <w:color w:val="auto"/>
          <w:highlight w:val="none"/>
        </w:rPr>
        <w:t>支持外贸企业开展电子商务升级行动，加快推进建立和完善网上市场营销和交易系统，积极发展电子商务平台和网络展，扩大网上交易规模。</w:t>
      </w:r>
      <w:bookmarkEnd w:id="260"/>
    </w:p>
    <w:p w14:paraId="78546327">
      <w:pPr>
        <w:pStyle w:val="23"/>
        <w:rPr>
          <w:color w:val="auto"/>
          <w:highlight w:val="none"/>
        </w:rPr>
      </w:pPr>
    </w:p>
    <w:p w14:paraId="6D5A1327">
      <w:pPr>
        <w:pStyle w:val="37"/>
        <w:keepNext/>
        <w:keepLines/>
        <w:pageBreakBefore w:val="0"/>
        <w:widowControl w:val="0"/>
        <w:kinsoku/>
        <w:wordWrap/>
        <w:overflowPunct/>
        <w:topLinePunct w:val="0"/>
        <w:autoSpaceDE/>
        <w:autoSpaceDN/>
        <w:bidi w:val="0"/>
        <w:adjustRightInd/>
        <w:snapToGrid/>
        <w:spacing w:before="313" w:beforeLines="100" w:after="313" w:afterLines="100" w:line="413" w:lineRule="auto"/>
        <w:ind w:left="159"/>
        <w:jc w:val="center"/>
        <w:textAlignment w:val="auto"/>
        <w:outlineLvl w:val="0"/>
        <w:rPr>
          <w:rFonts w:ascii="Times New Roman" w:hAnsi="Times New Roman"/>
          <w:b w:val="0"/>
          <w:color w:val="auto"/>
          <w:sz w:val="36"/>
          <w:szCs w:val="36"/>
          <w:highlight w:val="none"/>
        </w:rPr>
      </w:pPr>
      <w:bookmarkStart w:id="261" w:name="_Toc6549"/>
      <w:bookmarkStart w:id="262" w:name="_Toc28529"/>
      <w:bookmarkStart w:id="263" w:name="_Toc7446"/>
      <w:bookmarkStart w:id="264" w:name="_Toc24146"/>
      <w:bookmarkStart w:id="265" w:name="_Toc9715"/>
      <w:r>
        <w:rPr>
          <w:rFonts w:hint="eastAsia" w:ascii="Times New Roman" w:hAnsi="Times New Roman"/>
          <w:color w:val="auto"/>
          <w:sz w:val="36"/>
          <w:szCs w:val="36"/>
          <w:highlight w:val="none"/>
        </w:rPr>
        <w:t>第</w:t>
      </w:r>
      <w:r>
        <w:rPr>
          <w:rFonts w:hint="eastAsia" w:ascii="Times New Roman" w:hAnsi="Times New Roman"/>
          <w:color w:val="auto"/>
          <w:sz w:val="36"/>
          <w:szCs w:val="36"/>
          <w:highlight w:val="none"/>
          <w:lang w:eastAsia="zh-CN"/>
        </w:rPr>
        <w:t>五</w:t>
      </w:r>
      <w:r>
        <w:rPr>
          <w:rFonts w:hint="eastAsia" w:ascii="Times New Roman" w:hAnsi="Times New Roman"/>
          <w:color w:val="auto"/>
          <w:sz w:val="36"/>
          <w:szCs w:val="36"/>
          <w:highlight w:val="none"/>
        </w:rPr>
        <w:t>章</w:t>
      </w:r>
      <w:bookmarkEnd w:id="261"/>
      <w:bookmarkEnd w:id="262"/>
      <w:r>
        <w:rPr>
          <w:rFonts w:ascii="Times New Roman" w:hAnsi="Times New Roman"/>
          <w:color w:val="auto"/>
          <w:sz w:val="36"/>
          <w:szCs w:val="36"/>
          <w:highlight w:val="none"/>
        </w:rPr>
        <w:t xml:space="preserve"> </w:t>
      </w:r>
      <w:r>
        <w:rPr>
          <w:rFonts w:hint="eastAsia" w:ascii="Times New Roman" w:hAnsi="Times New Roman"/>
          <w:color w:val="auto"/>
          <w:sz w:val="36"/>
          <w:szCs w:val="36"/>
          <w:highlight w:val="none"/>
        </w:rPr>
        <w:t>坚持创新驱动发展，全面塑造发展新优势</w:t>
      </w:r>
      <w:bookmarkEnd w:id="263"/>
    </w:p>
    <w:p w14:paraId="5C2C5551">
      <w:pPr>
        <w:spacing w:line="560" w:lineRule="exact"/>
        <w:ind w:firstLine="640" w:firstLineChars="200"/>
        <w:rPr>
          <w:rFonts w:eastAsia="仿宋_GB2312"/>
          <w:color w:val="auto"/>
          <w:highlight w:val="none"/>
        </w:rPr>
      </w:pPr>
      <w:r>
        <w:rPr>
          <w:rFonts w:hint="eastAsia" w:eastAsia="仿宋_GB2312"/>
          <w:color w:val="auto"/>
          <w:highlight w:val="none"/>
        </w:rPr>
        <w:t>坚持创新在现代化建设全局中的核心地位，深入实施创新驱动和科教强市</w:t>
      </w:r>
      <w:r>
        <w:rPr>
          <w:rFonts w:hint="eastAsia" w:eastAsia="仿宋_GB2312"/>
          <w:color w:val="auto"/>
          <w:highlight w:val="none"/>
          <w:lang w:eastAsia="zh-CN"/>
        </w:rPr>
        <w:t>、人才强市</w:t>
      </w:r>
      <w:r>
        <w:rPr>
          <w:rFonts w:hint="eastAsia" w:eastAsia="仿宋_GB2312"/>
          <w:color w:val="auto"/>
          <w:highlight w:val="none"/>
        </w:rPr>
        <w:t>战略，</w:t>
      </w:r>
      <w:r>
        <w:rPr>
          <w:rFonts w:hint="eastAsia" w:eastAsia="仿宋_GB2312"/>
          <w:color w:val="auto"/>
          <w:highlight w:val="none"/>
          <w:lang w:eastAsia="zh-CN"/>
        </w:rPr>
        <w:t>积极</w:t>
      </w:r>
      <w:r>
        <w:rPr>
          <w:rFonts w:hint="eastAsia" w:eastAsia="仿宋_GB2312"/>
          <w:color w:val="auto"/>
          <w:highlight w:val="none"/>
        </w:rPr>
        <w:t>培育壮大</w:t>
      </w:r>
      <w:r>
        <w:rPr>
          <w:rFonts w:hint="eastAsia" w:eastAsia="仿宋_GB2312"/>
          <w:color w:val="auto"/>
          <w:highlight w:val="none"/>
          <w:lang w:eastAsia="zh-CN"/>
        </w:rPr>
        <w:t>数量众多、有活力、成链条的中小企业集群</w:t>
      </w:r>
      <w:r>
        <w:rPr>
          <w:rFonts w:hint="eastAsia" w:eastAsia="仿宋_GB2312"/>
          <w:color w:val="auto"/>
          <w:highlight w:val="none"/>
        </w:rPr>
        <w:t>，</w:t>
      </w:r>
      <w:r>
        <w:rPr>
          <w:rFonts w:hint="eastAsia" w:eastAsia="仿宋_GB2312"/>
          <w:color w:val="auto"/>
          <w:highlight w:val="none"/>
          <w:lang w:eastAsia="zh-CN"/>
        </w:rPr>
        <w:t>着力</w:t>
      </w:r>
      <w:r>
        <w:rPr>
          <w:rFonts w:hint="eastAsia" w:eastAsia="仿宋_GB2312"/>
          <w:color w:val="auto"/>
          <w:highlight w:val="none"/>
        </w:rPr>
        <w:t>提升自主创新能力，加强科技创新成果转化应用，激发人才创新创造活力，打造一流创新型城市。</w:t>
      </w:r>
    </w:p>
    <w:p w14:paraId="7B900603">
      <w:pPr>
        <w:spacing w:line="560" w:lineRule="exact"/>
        <w:ind w:firstLine="646"/>
        <w:outlineLvl w:val="1"/>
        <w:rPr>
          <w:rFonts w:eastAsia="黑体"/>
          <w:color w:val="auto"/>
          <w:highlight w:val="none"/>
        </w:rPr>
      </w:pPr>
      <w:bookmarkStart w:id="266" w:name="_Toc3894"/>
      <w:bookmarkStart w:id="267" w:name="_Toc18716"/>
      <w:bookmarkStart w:id="268" w:name="_Toc31874"/>
      <w:bookmarkStart w:id="269" w:name="_Toc252"/>
      <w:bookmarkStart w:id="270" w:name="_Toc27197"/>
      <w:bookmarkStart w:id="271" w:name="_Toc18860"/>
      <w:bookmarkStart w:id="272" w:name="_Toc27300"/>
      <w:bookmarkStart w:id="273" w:name="_Toc11333"/>
      <w:bookmarkStart w:id="274" w:name="_Toc9222"/>
      <w:r>
        <w:rPr>
          <w:rFonts w:hint="eastAsia" w:eastAsia="黑体"/>
          <w:color w:val="auto"/>
          <w:highlight w:val="none"/>
        </w:rPr>
        <w:t>一、培育壮大创新主体</w:t>
      </w:r>
      <w:bookmarkEnd w:id="266"/>
      <w:bookmarkEnd w:id="267"/>
      <w:bookmarkEnd w:id="268"/>
      <w:bookmarkEnd w:id="269"/>
      <w:bookmarkEnd w:id="270"/>
      <w:bookmarkEnd w:id="271"/>
      <w:bookmarkEnd w:id="272"/>
      <w:bookmarkEnd w:id="273"/>
      <w:bookmarkEnd w:id="274"/>
    </w:p>
    <w:p w14:paraId="5F12B929">
      <w:pPr>
        <w:spacing w:line="560" w:lineRule="exact"/>
        <w:ind w:firstLine="640" w:firstLineChars="200"/>
        <w:rPr>
          <w:rFonts w:eastAsia="仿宋_GB2312"/>
          <w:color w:val="auto"/>
          <w:highlight w:val="none"/>
        </w:rPr>
      </w:pPr>
      <w:r>
        <w:rPr>
          <w:rFonts w:hint="eastAsia" w:eastAsia="仿宋_GB2312"/>
          <w:color w:val="auto"/>
          <w:highlight w:val="none"/>
        </w:rPr>
        <w:t>完善鼓励企业技术创新政策，强化企业创新主体地位，促进各类创新要素向企业集聚，提升企业创新能力、创新活力和创新实力。</w:t>
      </w:r>
    </w:p>
    <w:p w14:paraId="556B2799">
      <w:pPr>
        <w:spacing w:line="560" w:lineRule="exact"/>
        <w:ind w:firstLine="640" w:firstLineChars="200"/>
        <w:outlineLvl w:val="2"/>
        <w:rPr>
          <w:b w:val="0"/>
          <w:bCs w:val="0"/>
          <w:color w:val="auto"/>
          <w:highlight w:val="none"/>
        </w:rPr>
      </w:pPr>
      <w:bookmarkStart w:id="275" w:name="_Toc19941"/>
      <w:bookmarkStart w:id="276" w:name="_Toc26743"/>
      <w:bookmarkStart w:id="277" w:name="_Toc8457"/>
      <w:bookmarkStart w:id="278" w:name="_Toc8507"/>
      <w:bookmarkStart w:id="279" w:name="_Toc796"/>
      <w:bookmarkStart w:id="280" w:name="_Toc18561"/>
      <w:bookmarkStart w:id="281" w:name="_Toc14893"/>
      <w:bookmarkStart w:id="282" w:name="_Toc23860"/>
      <w:bookmarkStart w:id="283" w:name="_Toc30350"/>
      <w:bookmarkStart w:id="284" w:name="_Toc25464"/>
      <w:bookmarkStart w:id="285" w:name="_Toc7690"/>
      <w:bookmarkStart w:id="286" w:name="_Toc30453"/>
      <w:r>
        <w:rPr>
          <w:rFonts w:hint="eastAsia"/>
          <w:b w:val="0"/>
          <w:bCs w:val="0"/>
          <w:color w:val="auto"/>
          <w:highlight w:val="none"/>
        </w:rPr>
        <w:t>（一）实施创新型领军企业培育计划</w:t>
      </w:r>
      <w:bookmarkEnd w:id="275"/>
      <w:bookmarkEnd w:id="276"/>
      <w:bookmarkEnd w:id="277"/>
    </w:p>
    <w:p w14:paraId="12F244E8">
      <w:pPr>
        <w:spacing w:line="560" w:lineRule="exact"/>
        <w:ind w:firstLine="640" w:firstLineChars="200"/>
        <w:rPr>
          <w:rFonts w:eastAsia="仿宋_GB2312"/>
          <w:color w:val="auto"/>
          <w:highlight w:val="none"/>
        </w:rPr>
      </w:pPr>
      <w:r>
        <w:rPr>
          <w:rFonts w:hint="eastAsia" w:eastAsia="仿宋_GB2312"/>
          <w:color w:val="auto"/>
          <w:highlight w:val="none"/>
        </w:rPr>
        <w:t>实施创新企业引培工程，坚持外部引进和本土培育相结合，遴选一批创新能力强、引领作用大的骨干高新技术企业，在重大技术攻关项目、科技创新平台建设、创新政策落实等方面集中资源重点支持，打造在全国有影响力的创新型领军企业。支持行业龙头企业、优势企业牵头组建创新联合体，瞄准科技前沿、产业发展、市场需求，研发产业共性关键技术，培育带动一批创新型企业发展，打造科技创新企业集群。着力提升企业自主创新能力，引导企业加大科技创新投入，催生更多</w:t>
      </w:r>
      <w:r>
        <w:rPr>
          <w:rFonts w:hint="eastAsia" w:eastAsia="仿宋_GB2312"/>
          <w:color w:val="auto"/>
          <w:highlight w:val="none"/>
          <w:lang w:eastAsia="zh-CN"/>
        </w:rPr>
        <w:t>“</w:t>
      </w:r>
      <w:r>
        <w:rPr>
          <w:rFonts w:hint="eastAsia" w:eastAsia="仿宋_GB2312"/>
          <w:color w:val="auto"/>
          <w:highlight w:val="none"/>
        </w:rPr>
        <w:t>独角兽</w:t>
      </w:r>
      <w:r>
        <w:rPr>
          <w:rFonts w:hint="eastAsia" w:eastAsia="仿宋_GB2312"/>
          <w:color w:val="auto"/>
          <w:highlight w:val="none"/>
          <w:lang w:eastAsia="zh-CN"/>
        </w:rPr>
        <w:t>”</w:t>
      </w:r>
      <w:r>
        <w:rPr>
          <w:rFonts w:hint="eastAsia" w:eastAsia="仿宋_GB2312"/>
          <w:color w:val="auto"/>
          <w:highlight w:val="none"/>
        </w:rPr>
        <w:t>企业、</w:t>
      </w:r>
      <w:r>
        <w:rPr>
          <w:rFonts w:hint="eastAsia" w:eastAsia="仿宋_GB2312"/>
          <w:color w:val="auto"/>
          <w:highlight w:val="none"/>
          <w:lang w:eastAsia="zh-CN"/>
        </w:rPr>
        <w:t>“</w:t>
      </w:r>
      <w:r>
        <w:rPr>
          <w:rFonts w:hint="eastAsia" w:eastAsia="仿宋_GB2312"/>
          <w:color w:val="auto"/>
          <w:highlight w:val="none"/>
        </w:rPr>
        <w:t>瞪羚</w:t>
      </w:r>
      <w:r>
        <w:rPr>
          <w:rFonts w:hint="eastAsia" w:eastAsia="仿宋_GB2312"/>
          <w:color w:val="auto"/>
          <w:highlight w:val="none"/>
          <w:lang w:eastAsia="zh-CN"/>
        </w:rPr>
        <w:t>”</w:t>
      </w:r>
      <w:r>
        <w:rPr>
          <w:rFonts w:hint="eastAsia" w:eastAsia="仿宋_GB2312"/>
          <w:color w:val="auto"/>
          <w:highlight w:val="none"/>
        </w:rPr>
        <w:t>企业、细分市场</w:t>
      </w:r>
      <w:r>
        <w:rPr>
          <w:rFonts w:hint="eastAsia" w:eastAsia="仿宋_GB2312"/>
          <w:color w:val="auto"/>
          <w:highlight w:val="none"/>
          <w:lang w:eastAsia="zh-CN"/>
        </w:rPr>
        <w:t>“</w:t>
      </w:r>
      <w:r>
        <w:rPr>
          <w:rFonts w:hint="eastAsia" w:eastAsia="仿宋_GB2312"/>
          <w:color w:val="auto"/>
          <w:highlight w:val="none"/>
        </w:rPr>
        <w:t>单项冠军</w:t>
      </w:r>
      <w:r>
        <w:rPr>
          <w:rFonts w:hint="eastAsia" w:eastAsia="仿宋_GB2312"/>
          <w:color w:val="auto"/>
          <w:highlight w:val="none"/>
          <w:lang w:eastAsia="zh-CN"/>
        </w:rPr>
        <w:t>”</w:t>
      </w:r>
      <w:r>
        <w:rPr>
          <w:rFonts w:hint="eastAsia" w:eastAsia="仿宋_GB2312"/>
          <w:color w:val="auto"/>
          <w:highlight w:val="none"/>
        </w:rPr>
        <w:t>企业和新领军者企业。</w:t>
      </w:r>
    </w:p>
    <w:p w14:paraId="327B8866">
      <w:pPr>
        <w:spacing w:line="560" w:lineRule="exact"/>
        <w:ind w:firstLine="640" w:firstLineChars="200"/>
        <w:outlineLvl w:val="2"/>
        <w:rPr>
          <w:b w:val="0"/>
          <w:bCs w:val="0"/>
          <w:color w:val="auto"/>
          <w:highlight w:val="none"/>
        </w:rPr>
      </w:pPr>
      <w:bookmarkStart w:id="287" w:name="_Toc31428"/>
      <w:bookmarkStart w:id="288" w:name="_Toc18946"/>
      <w:bookmarkStart w:id="289" w:name="_Toc4658"/>
      <w:r>
        <w:rPr>
          <w:rFonts w:hint="eastAsia"/>
          <w:b w:val="0"/>
          <w:bCs w:val="0"/>
          <w:color w:val="auto"/>
          <w:highlight w:val="none"/>
        </w:rPr>
        <w:t>（二）大力培育高新技术企业</w:t>
      </w:r>
      <w:bookmarkEnd w:id="287"/>
      <w:bookmarkEnd w:id="288"/>
      <w:bookmarkEnd w:id="289"/>
    </w:p>
    <w:p w14:paraId="6C4222C0">
      <w:pPr>
        <w:spacing w:line="560" w:lineRule="exact"/>
        <w:ind w:firstLine="640" w:firstLineChars="200"/>
        <w:rPr>
          <w:rFonts w:eastAsia="仿宋_GB2312"/>
          <w:color w:val="auto"/>
          <w:highlight w:val="none"/>
        </w:rPr>
      </w:pPr>
      <w:r>
        <w:rPr>
          <w:rFonts w:hint="eastAsia" w:eastAsia="仿宋_GB2312"/>
          <w:color w:val="auto"/>
          <w:highlight w:val="none"/>
        </w:rPr>
        <w:t>围绕补齐</w:t>
      </w:r>
      <w:r>
        <w:rPr>
          <w:rFonts w:hint="eastAsia" w:eastAsia="仿宋_GB2312"/>
          <w:color w:val="auto"/>
          <w:highlight w:val="none"/>
          <w:lang w:eastAsia="zh-CN"/>
        </w:rPr>
        <w:t>“</w:t>
      </w:r>
      <w:r>
        <w:rPr>
          <w:rFonts w:hint="eastAsia" w:eastAsia="仿宋_GB2312"/>
          <w:color w:val="auto"/>
          <w:highlight w:val="none"/>
        </w:rPr>
        <w:t>短板</w:t>
      </w:r>
      <w:r>
        <w:rPr>
          <w:rFonts w:hint="eastAsia" w:eastAsia="仿宋_GB2312"/>
          <w:color w:val="auto"/>
          <w:highlight w:val="none"/>
          <w:lang w:eastAsia="zh-CN"/>
        </w:rPr>
        <w:t>”</w:t>
      </w:r>
      <w:r>
        <w:rPr>
          <w:rFonts w:hint="eastAsia" w:eastAsia="仿宋_GB2312"/>
          <w:color w:val="auto"/>
          <w:highlight w:val="none"/>
        </w:rPr>
        <w:t>、做强产业链，支持行业优势企业与高校、科研院所深入开展产学研合作，加大研发投入，增强自主创新能力，打造一批研发实力与创新成果国际一流、产业规模与竞争能力位居前列的高新技术企业。积极与京津开展对接合作，引进孵化一批技术前沿领域的高新技术企业。选取规模大、技术领先、成长性高、带动性强的高新技术企业，提供定制化的基础服务、发展服务和延伸服务，推动一批高新技术企业高端化发展。到</w:t>
      </w:r>
      <w:r>
        <w:rPr>
          <w:rFonts w:eastAsia="仿宋_GB2312"/>
          <w:color w:val="auto"/>
          <w:highlight w:val="none"/>
        </w:rPr>
        <w:t>2025</w:t>
      </w:r>
      <w:r>
        <w:rPr>
          <w:rFonts w:hint="eastAsia" w:eastAsia="仿宋_GB2312"/>
          <w:color w:val="auto"/>
          <w:highlight w:val="none"/>
        </w:rPr>
        <w:t>年，高新技术企业达到</w:t>
      </w:r>
      <w:r>
        <w:rPr>
          <w:rFonts w:eastAsia="仿宋_GB2312"/>
          <w:color w:val="auto"/>
          <w:highlight w:val="none"/>
        </w:rPr>
        <w:t>600</w:t>
      </w:r>
      <w:r>
        <w:rPr>
          <w:rFonts w:hint="eastAsia" w:eastAsia="仿宋_GB2312"/>
          <w:color w:val="auto"/>
          <w:highlight w:val="none"/>
        </w:rPr>
        <w:t>家以上，高新技术产业增加值占规模以上工业增加值的比重达到</w:t>
      </w:r>
      <w:r>
        <w:rPr>
          <w:rFonts w:hint="eastAsia" w:eastAsia="仿宋_GB2312"/>
          <w:color w:val="auto"/>
          <w:highlight w:val="none"/>
          <w:lang w:val="en-US" w:eastAsia="zh-CN"/>
        </w:rPr>
        <w:t>35</w:t>
      </w:r>
      <w:r>
        <w:rPr>
          <w:rFonts w:eastAsia="仿宋_GB2312"/>
          <w:color w:val="auto"/>
          <w:highlight w:val="none"/>
        </w:rPr>
        <w:t>%</w:t>
      </w:r>
      <w:r>
        <w:rPr>
          <w:rFonts w:hint="eastAsia" w:eastAsia="仿宋_GB2312"/>
          <w:color w:val="auto"/>
          <w:highlight w:val="none"/>
        </w:rPr>
        <w:t>以上。</w:t>
      </w:r>
    </w:p>
    <w:p w14:paraId="2F2F6B96">
      <w:pPr>
        <w:spacing w:line="560" w:lineRule="exact"/>
        <w:ind w:firstLine="640" w:firstLineChars="200"/>
        <w:outlineLvl w:val="2"/>
        <w:rPr>
          <w:b w:val="0"/>
          <w:bCs w:val="0"/>
          <w:color w:val="auto"/>
          <w:highlight w:val="none"/>
        </w:rPr>
      </w:pPr>
      <w:bookmarkStart w:id="290" w:name="_Toc3085"/>
      <w:bookmarkStart w:id="291" w:name="_Toc4324"/>
      <w:bookmarkStart w:id="292" w:name="_Toc11930"/>
      <w:bookmarkStart w:id="293" w:name="_Toc17459"/>
      <w:r>
        <w:rPr>
          <w:rFonts w:hint="eastAsia"/>
          <w:b w:val="0"/>
          <w:bCs w:val="0"/>
          <w:color w:val="auto"/>
          <w:highlight w:val="none"/>
        </w:rPr>
        <w:t>（三）加快发展科技型中小企业</w:t>
      </w:r>
      <w:bookmarkEnd w:id="290"/>
      <w:bookmarkEnd w:id="291"/>
      <w:bookmarkEnd w:id="292"/>
      <w:bookmarkEnd w:id="293"/>
    </w:p>
    <w:p w14:paraId="01E3D277">
      <w:pPr>
        <w:spacing w:line="560" w:lineRule="exact"/>
        <w:ind w:firstLine="640" w:firstLineChars="200"/>
        <w:rPr>
          <w:rFonts w:eastAsia="仿宋_GB2312"/>
          <w:color w:val="auto"/>
          <w:highlight w:val="none"/>
        </w:rPr>
      </w:pPr>
      <w:r>
        <w:rPr>
          <w:rFonts w:hint="eastAsia" w:eastAsia="仿宋_GB2312"/>
          <w:color w:val="auto"/>
          <w:highlight w:val="none"/>
        </w:rPr>
        <w:t>实施科技型中小企业成长计划，推动科技型中小企业数量和质量双提升，支持重点实验室、技术创新中心、检验检测等创新服务平台向企业社会开放，营造区域创新生态。通过政策引领，激发企业创新活力，着力孵化一批、创办一批、引进一批、转型一批、提升一批，实现科技型中小企业快速增长。实施苗圃、雏鹰、科技小巨人和新三板上市四大工程，搭建小升规、规改股、股上市成长阶梯，强化差异化服务，加速推动科技型中小企业裂变式增长、集群化发展。到</w:t>
      </w:r>
      <w:r>
        <w:rPr>
          <w:rFonts w:eastAsia="仿宋_GB2312"/>
          <w:color w:val="auto"/>
          <w:highlight w:val="none"/>
        </w:rPr>
        <w:t>2025</w:t>
      </w:r>
      <w:r>
        <w:rPr>
          <w:rFonts w:hint="eastAsia" w:eastAsia="仿宋_GB2312"/>
          <w:color w:val="auto"/>
          <w:highlight w:val="none"/>
        </w:rPr>
        <w:t>年，全市科技型中小企业达到</w:t>
      </w:r>
      <w:r>
        <w:rPr>
          <w:rFonts w:eastAsia="仿宋_GB2312"/>
          <w:color w:val="auto"/>
          <w:highlight w:val="none"/>
        </w:rPr>
        <w:t>5000</w:t>
      </w:r>
      <w:r>
        <w:rPr>
          <w:rFonts w:hint="eastAsia" w:eastAsia="仿宋_GB2312"/>
          <w:color w:val="auto"/>
          <w:highlight w:val="none"/>
        </w:rPr>
        <w:t>家以上，自主创新能力大幅提升。</w:t>
      </w:r>
    </w:p>
    <w:bookmarkEnd w:id="278"/>
    <w:bookmarkEnd w:id="279"/>
    <w:bookmarkEnd w:id="280"/>
    <w:bookmarkEnd w:id="281"/>
    <w:bookmarkEnd w:id="282"/>
    <w:bookmarkEnd w:id="283"/>
    <w:bookmarkEnd w:id="284"/>
    <w:bookmarkEnd w:id="285"/>
    <w:bookmarkEnd w:id="286"/>
    <w:p w14:paraId="78BF35C5">
      <w:pPr>
        <w:spacing w:line="560" w:lineRule="exact"/>
        <w:ind w:firstLine="646"/>
        <w:outlineLvl w:val="1"/>
        <w:rPr>
          <w:rFonts w:eastAsia="黑体"/>
          <w:color w:val="auto"/>
          <w:highlight w:val="none"/>
        </w:rPr>
      </w:pPr>
      <w:bookmarkStart w:id="294" w:name="_Toc14521"/>
      <w:bookmarkStart w:id="295" w:name="_Toc25791"/>
      <w:bookmarkStart w:id="296" w:name="_Toc32010"/>
      <w:bookmarkStart w:id="297" w:name="_Toc5350"/>
      <w:bookmarkStart w:id="298" w:name="_Toc22375"/>
      <w:bookmarkStart w:id="299" w:name="_Toc25293"/>
      <w:bookmarkStart w:id="300" w:name="_Toc31545"/>
      <w:bookmarkStart w:id="301" w:name="_Toc18773"/>
      <w:bookmarkStart w:id="302" w:name="_Toc11587"/>
      <w:r>
        <w:rPr>
          <w:rFonts w:hint="eastAsia" w:eastAsia="黑体"/>
          <w:color w:val="auto"/>
          <w:highlight w:val="none"/>
        </w:rPr>
        <w:t>二、全面增强创新能力</w:t>
      </w:r>
      <w:bookmarkEnd w:id="294"/>
      <w:bookmarkEnd w:id="295"/>
      <w:bookmarkEnd w:id="296"/>
      <w:bookmarkEnd w:id="297"/>
      <w:bookmarkEnd w:id="298"/>
      <w:bookmarkEnd w:id="299"/>
      <w:bookmarkEnd w:id="300"/>
      <w:bookmarkEnd w:id="301"/>
      <w:bookmarkEnd w:id="302"/>
    </w:p>
    <w:p w14:paraId="7DCCC790">
      <w:pPr>
        <w:spacing w:line="560" w:lineRule="exact"/>
        <w:ind w:firstLine="640" w:firstLineChars="200"/>
        <w:rPr>
          <w:rFonts w:eastAsia="仿宋_GB2312"/>
          <w:color w:val="auto"/>
          <w:highlight w:val="none"/>
        </w:rPr>
      </w:pPr>
      <w:bookmarkStart w:id="303" w:name="_Toc11859"/>
      <w:bookmarkStart w:id="304" w:name="_Toc18466"/>
      <w:bookmarkStart w:id="305" w:name="_Toc32326"/>
      <w:bookmarkStart w:id="306" w:name="_Toc28221"/>
      <w:bookmarkStart w:id="307" w:name="_Toc23911"/>
      <w:bookmarkStart w:id="308" w:name="_Toc21875"/>
      <w:r>
        <w:rPr>
          <w:rFonts w:hint="eastAsia" w:eastAsia="仿宋_GB2312"/>
          <w:color w:val="auto"/>
          <w:highlight w:val="none"/>
        </w:rPr>
        <w:t>遵循科技创新和产业创新规律，统筹各类创新平台载体建设，加强核心关键共性技术研发，加速科技成果转化应用，全面提升创新能力。</w:t>
      </w:r>
    </w:p>
    <w:p w14:paraId="2F75E418">
      <w:pPr>
        <w:spacing w:line="560" w:lineRule="exact"/>
        <w:ind w:firstLine="640" w:firstLineChars="200"/>
        <w:outlineLvl w:val="2"/>
        <w:rPr>
          <w:b w:val="0"/>
          <w:bCs w:val="0"/>
          <w:color w:val="auto"/>
          <w:highlight w:val="none"/>
        </w:rPr>
      </w:pPr>
      <w:bookmarkStart w:id="309" w:name="_Toc12118"/>
      <w:bookmarkStart w:id="310" w:name="_Toc25351"/>
      <w:r>
        <w:rPr>
          <w:rFonts w:hint="eastAsia"/>
          <w:b w:val="0"/>
          <w:bCs w:val="0"/>
          <w:color w:val="auto"/>
          <w:highlight w:val="none"/>
        </w:rPr>
        <w:t>（一）加强产业关键技术研发和应用</w:t>
      </w:r>
      <w:bookmarkEnd w:id="303"/>
      <w:bookmarkEnd w:id="309"/>
      <w:bookmarkEnd w:id="310"/>
    </w:p>
    <w:p w14:paraId="6675900D">
      <w:pPr>
        <w:spacing w:line="560" w:lineRule="exact"/>
        <w:ind w:firstLine="640" w:firstLineChars="200"/>
        <w:rPr>
          <w:rFonts w:eastAsia="仿宋_GB2312"/>
          <w:color w:val="auto"/>
          <w:highlight w:val="none"/>
        </w:rPr>
      </w:pPr>
      <w:r>
        <w:rPr>
          <w:rFonts w:hint="eastAsia" w:eastAsia="仿宋_GB2312"/>
          <w:color w:val="auto"/>
          <w:highlight w:val="none"/>
        </w:rPr>
        <w:t>围绕战略性新兴产业的科技需求，聚焦产业链供应链稳定，针对产业薄弱环节，组织实施一批重大科技专项，集中攻关一批国内空白技术，搞出更多独门绝技，打造一批具有综合竞争力、特色优势明显的产业集群。鼓励燕山大学、东北大学（秦皇岛）等市域内外高校、科研院所与企业合作建设产业技术研究院等新型研发机构，开展康复辅具、肿瘤治疗、轻量化汽车零部件、特种玻璃、氢能利用、智慧港口等共性关键技术研发、科技成果转化、技术服务、企业孵化等创新创业服务。</w:t>
      </w:r>
    </w:p>
    <w:p w14:paraId="56D640B6">
      <w:pPr>
        <w:spacing w:line="560" w:lineRule="exact"/>
        <w:ind w:firstLine="640" w:firstLineChars="200"/>
        <w:outlineLvl w:val="2"/>
        <w:rPr>
          <w:b w:val="0"/>
          <w:bCs w:val="0"/>
          <w:color w:val="auto"/>
          <w:highlight w:val="none"/>
        </w:rPr>
      </w:pPr>
      <w:bookmarkStart w:id="311" w:name="_Toc5763"/>
      <w:bookmarkStart w:id="312" w:name="_Toc15473"/>
      <w:bookmarkStart w:id="313" w:name="_Toc28108"/>
      <w:r>
        <w:rPr>
          <w:rFonts w:hint="eastAsia"/>
          <w:b w:val="0"/>
          <w:bCs w:val="0"/>
          <w:color w:val="auto"/>
          <w:highlight w:val="none"/>
        </w:rPr>
        <w:t>（二）推进科技创新平台建设</w:t>
      </w:r>
      <w:bookmarkEnd w:id="311"/>
      <w:bookmarkEnd w:id="312"/>
      <w:bookmarkEnd w:id="313"/>
    </w:p>
    <w:p w14:paraId="6833C49A">
      <w:pPr>
        <w:spacing w:line="560" w:lineRule="exact"/>
        <w:ind w:firstLine="640" w:firstLineChars="200"/>
        <w:rPr>
          <w:rFonts w:eastAsia="仿宋_GB2312"/>
          <w:color w:val="auto"/>
          <w:highlight w:val="none"/>
        </w:rPr>
      </w:pPr>
      <w:r>
        <w:rPr>
          <w:rFonts w:hint="eastAsia" w:eastAsia="仿宋_GB2312"/>
          <w:color w:val="auto"/>
          <w:highlight w:val="none"/>
        </w:rPr>
        <w:t>大力吸引国内外顶尖实验室、研究所、高校、跨国公司来秦设立领先的科学实验室和研发中心，支持企业建设重点实验室、技术创新中心、工程研究中心、企业技术中心、产业技术研究院等科技创新平台，扶持一批优势明显的市级工程技术中心升级为省级科技创新平台。组织开展规模以上企业研发机构达标行动，支持企业建立形式多样、机制灵活的新型研发机构。引导行业优势企业与高校、科研机构及高端人才合作建设院士工作站、博士后工作站和产学研合作基地。实施孵化器和众创空间（星创天地）推进计划，打造一批专业化孵化器和众创空间，建设一批</w:t>
      </w:r>
      <w:r>
        <w:rPr>
          <w:rFonts w:hint="eastAsia" w:eastAsia="仿宋_GB2312"/>
          <w:color w:val="auto"/>
          <w:highlight w:val="none"/>
          <w:lang w:eastAsia="zh-CN"/>
        </w:rPr>
        <w:t>“</w:t>
      </w:r>
      <w:r>
        <w:rPr>
          <w:rFonts w:hint="eastAsia" w:eastAsia="仿宋_GB2312"/>
          <w:color w:val="auto"/>
          <w:highlight w:val="none"/>
        </w:rPr>
        <w:t>双创</w:t>
      </w:r>
      <w:r>
        <w:rPr>
          <w:rFonts w:hint="eastAsia" w:eastAsia="仿宋_GB2312"/>
          <w:color w:val="auto"/>
          <w:highlight w:val="none"/>
          <w:lang w:eastAsia="zh-CN"/>
        </w:rPr>
        <w:t>”</w:t>
      </w:r>
      <w:r>
        <w:rPr>
          <w:rFonts w:hint="eastAsia" w:eastAsia="仿宋_GB2312"/>
          <w:color w:val="auto"/>
          <w:highlight w:val="none"/>
        </w:rPr>
        <w:t>示范基地。到</w:t>
      </w:r>
      <w:r>
        <w:rPr>
          <w:rFonts w:eastAsia="仿宋_GB2312"/>
          <w:color w:val="auto"/>
          <w:highlight w:val="none"/>
        </w:rPr>
        <w:t>2025</w:t>
      </w:r>
      <w:r>
        <w:rPr>
          <w:rFonts w:hint="eastAsia" w:eastAsia="仿宋_GB2312"/>
          <w:color w:val="auto"/>
          <w:highlight w:val="none"/>
        </w:rPr>
        <w:t>年，规模以上工业企业建立研发机构比例达到</w:t>
      </w:r>
      <w:r>
        <w:rPr>
          <w:rFonts w:eastAsia="仿宋_GB2312"/>
          <w:color w:val="auto"/>
          <w:highlight w:val="none"/>
        </w:rPr>
        <w:t>40%</w:t>
      </w:r>
      <w:r>
        <w:rPr>
          <w:rFonts w:hint="eastAsia" w:eastAsia="仿宋_GB2312"/>
          <w:color w:val="auto"/>
          <w:highlight w:val="none"/>
        </w:rPr>
        <w:t>以上</w:t>
      </w:r>
      <w:bookmarkEnd w:id="304"/>
      <w:bookmarkEnd w:id="305"/>
      <w:bookmarkEnd w:id="306"/>
      <w:bookmarkEnd w:id="307"/>
      <w:bookmarkEnd w:id="308"/>
      <w:r>
        <w:rPr>
          <w:rFonts w:hint="eastAsia" w:eastAsia="仿宋_GB2312"/>
          <w:color w:val="auto"/>
          <w:highlight w:val="none"/>
        </w:rPr>
        <w:t>。</w:t>
      </w:r>
    </w:p>
    <w:p w14:paraId="38B11BB9">
      <w:pPr>
        <w:spacing w:line="560" w:lineRule="exact"/>
        <w:ind w:firstLine="646"/>
        <w:outlineLvl w:val="2"/>
        <w:rPr>
          <w:b w:val="0"/>
          <w:bCs w:val="0"/>
          <w:color w:val="auto"/>
          <w:highlight w:val="none"/>
        </w:rPr>
      </w:pPr>
      <w:bookmarkStart w:id="314" w:name="_Toc8738"/>
      <w:bookmarkStart w:id="315" w:name="_Toc8314"/>
      <w:r>
        <w:rPr>
          <w:rFonts w:hint="eastAsia"/>
          <w:b w:val="0"/>
          <w:bCs w:val="0"/>
          <w:color w:val="auto"/>
          <w:highlight w:val="none"/>
        </w:rPr>
        <w:t>（三）推进科技园区提档升级</w:t>
      </w:r>
      <w:bookmarkEnd w:id="314"/>
      <w:bookmarkEnd w:id="315"/>
    </w:p>
    <w:p w14:paraId="3970BFF9">
      <w:pPr>
        <w:spacing w:line="560" w:lineRule="exact"/>
        <w:ind w:firstLine="640" w:firstLineChars="200"/>
        <w:rPr>
          <w:rFonts w:eastAsia="仿宋_GB2312"/>
          <w:color w:val="auto"/>
          <w:highlight w:val="none"/>
        </w:rPr>
      </w:pPr>
      <w:r>
        <w:rPr>
          <w:rFonts w:hint="eastAsia" w:eastAsia="仿宋_GB2312"/>
          <w:color w:val="auto"/>
          <w:highlight w:val="none"/>
        </w:rPr>
        <w:t>加快秦皇岛高新技术产业开发区建设，提升高新技术产业集聚功能。加快北戴河生命科学园等科技企业孵化器建设，引进代表国际国内先进科技、医疗水平的高端项目。持续推动中关村海淀园秦皇岛分园建设。提高中瑞设计港运营能力和专业化服务水平，增强园区吸引力。支持燕山大学国家大学科技园建设。推进农业科技园区、现代农业园区的研发机构建设，每个园区建设</w:t>
      </w:r>
      <w:r>
        <w:rPr>
          <w:rFonts w:eastAsia="仿宋_GB2312"/>
          <w:color w:val="auto"/>
          <w:highlight w:val="none"/>
        </w:rPr>
        <w:t>1</w:t>
      </w:r>
      <w:r>
        <w:rPr>
          <w:rFonts w:hint="eastAsia" w:eastAsia="仿宋_GB2312"/>
          <w:color w:val="auto"/>
          <w:highlight w:val="none"/>
        </w:rPr>
        <w:t>家研发机构，每年研发、推广应用</w:t>
      </w:r>
      <w:r>
        <w:rPr>
          <w:rFonts w:eastAsia="仿宋_GB2312"/>
          <w:color w:val="auto"/>
          <w:highlight w:val="none"/>
        </w:rPr>
        <w:t>1</w:t>
      </w:r>
      <w:r>
        <w:rPr>
          <w:rFonts w:hint="eastAsia" w:eastAsia="仿宋_GB2312"/>
          <w:color w:val="auto"/>
          <w:highlight w:val="none"/>
        </w:rPr>
        <w:t>项以上农业新技术新品种，促进农业科技园区高质量发展。重点推进山海关大樱桃、昌黎葡萄、北戴河集发等省级农业科技园区建设。</w:t>
      </w:r>
    </w:p>
    <w:p w14:paraId="126BDAD7">
      <w:pPr>
        <w:spacing w:line="560" w:lineRule="exact"/>
        <w:ind w:firstLine="640" w:firstLineChars="200"/>
        <w:outlineLvl w:val="2"/>
        <w:rPr>
          <w:b w:val="0"/>
          <w:bCs w:val="0"/>
          <w:color w:val="auto"/>
          <w:highlight w:val="none"/>
        </w:rPr>
      </w:pPr>
      <w:bookmarkStart w:id="316" w:name="_Toc28339"/>
      <w:bookmarkStart w:id="317" w:name="_Toc5438"/>
      <w:bookmarkStart w:id="318" w:name="_Toc15273"/>
      <w:r>
        <w:rPr>
          <w:rFonts w:hint="eastAsia"/>
          <w:b w:val="0"/>
          <w:bCs w:val="0"/>
          <w:color w:val="auto"/>
          <w:highlight w:val="none"/>
        </w:rPr>
        <w:t>（四）</w:t>
      </w:r>
      <w:bookmarkEnd w:id="316"/>
      <w:bookmarkStart w:id="319" w:name="_Toc9119"/>
      <w:r>
        <w:rPr>
          <w:rFonts w:hint="eastAsia"/>
          <w:b w:val="0"/>
          <w:bCs w:val="0"/>
          <w:color w:val="auto"/>
          <w:highlight w:val="none"/>
        </w:rPr>
        <w:t>构建产学研深度融合技术创新</w:t>
      </w:r>
      <w:bookmarkEnd w:id="319"/>
      <w:r>
        <w:rPr>
          <w:rFonts w:hint="eastAsia"/>
          <w:b w:val="0"/>
          <w:bCs w:val="0"/>
          <w:color w:val="auto"/>
          <w:highlight w:val="none"/>
        </w:rPr>
        <w:t>体系</w:t>
      </w:r>
      <w:bookmarkEnd w:id="317"/>
      <w:bookmarkEnd w:id="318"/>
    </w:p>
    <w:p w14:paraId="05C27825">
      <w:pPr>
        <w:spacing w:line="560" w:lineRule="exact"/>
        <w:ind w:firstLine="640" w:firstLineChars="200"/>
        <w:rPr>
          <w:rFonts w:eastAsia="仿宋_GB2312"/>
          <w:color w:val="auto"/>
          <w:highlight w:val="none"/>
        </w:rPr>
      </w:pPr>
      <w:r>
        <w:rPr>
          <w:rFonts w:hint="eastAsia" w:eastAsia="仿宋_GB2312"/>
          <w:color w:val="auto"/>
          <w:highlight w:val="none"/>
        </w:rPr>
        <w:t>依托燕山大学、东北大学（秦皇岛）</w:t>
      </w:r>
      <w:r>
        <w:rPr>
          <w:rFonts w:hint="eastAsia" w:eastAsia="仿宋_GB2312"/>
          <w:color w:val="auto"/>
          <w:highlight w:val="none"/>
          <w:lang w:eastAsia="zh-CN"/>
        </w:rPr>
        <w:t>等</w:t>
      </w:r>
      <w:r>
        <w:rPr>
          <w:rFonts w:hint="eastAsia" w:eastAsia="仿宋_GB2312"/>
          <w:color w:val="auto"/>
          <w:highlight w:val="none"/>
        </w:rPr>
        <w:t>科技创新资源，谋划创建新兴产业技术研究院</w:t>
      </w:r>
      <w:r>
        <w:rPr>
          <w:rFonts w:hint="eastAsia" w:eastAsia="仿宋_GB2312"/>
          <w:color w:val="auto"/>
          <w:highlight w:val="none"/>
          <w:lang w:eastAsia="zh-CN"/>
        </w:rPr>
        <w:t>，提升关键技术攻关能力，形成一批具有支撑引领作用的科技创新成果</w:t>
      </w:r>
      <w:r>
        <w:rPr>
          <w:rFonts w:hint="eastAsia" w:eastAsia="仿宋_GB2312"/>
          <w:color w:val="auto"/>
          <w:highlight w:val="none"/>
        </w:rPr>
        <w:t>。</w:t>
      </w:r>
      <w:r>
        <w:rPr>
          <w:rFonts w:hint="eastAsia" w:eastAsia="仿宋_GB2312"/>
          <w:color w:val="auto"/>
          <w:highlight w:val="none"/>
          <w:lang w:eastAsia="zh-CN"/>
        </w:rPr>
        <w:t>搭建校地合作平台，</w:t>
      </w:r>
      <w:r>
        <w:rPr>
          <w:rFonts w:hint="eastAsia" w:eastAsia="仿宋_GB2312"/>
          <w:color w:val="auto"/>
          <w:highlight w:val="none"/>
        </w:rPr>
        <w:t>组织驻秦高校梳理科技成果资源，发布科技成果目录，推动高校与企业有效对接，促进驻秦高校科技成果就地转化。广泛征集企业技术创新需求，挖掘凝炼技术需求清单，定期向外发布推送，引导科技人员帮助企业解决技术难题。支持高校科研院所科技人员通过兼职创新、长期派驻、短期合作等方式，到企业开展科技咨询、技术诊断、产品开发、科学普及等服务，为产业融合发展、转型升级和企业复杂技术难题破解提供专业化、集成化、个性化解决方案。支持高校建设大学科技园、科技企业孵化器、技术转移机构，鼓励高校科研人员带技术、带成果创办科技型企业。支持优势领军企业自身科技成果产业化，符合条件的纳入市重大科技成果转化项目给予资金支持。开展专利预警、专利导航和专利分析评议，培育知识产权优势示范企业，推进国家知识产权试点城市建设。</w:t>
      </w:r>
    </w:p>
    <w:p w14:paraId="1A3D3276">
      <w:pPr>
        <w:spacing w:line="560" w:lineRule="exact"/>
        <w:ind w:firstLine="640" w:firstLineChars="200"/>
        <w:outlineLvl w:val="2"/>
        <w:rPr>
          <w:b w:val="0"/>
          <w:bCs w:val="0"/>
          <w:color w:val="auto"/>
          <w:highlight w:val="none"/>
        </w:rPr>
      </w:pPr>
      <w:bookmarkStart w:id="320" w:name="_Toc8892"/>
      <w:bookmarkStart w:id="321" w:name="_Toc29039"/>
      <w:bookmarkStart w:id="322" w:name="_Toc28017"/>
      <w:bookmarkStart w:id="323" w:name="_Toc13602"/>
      <w:bookmarkStart w:id="324" w:name="_Toc2599"/>
      <w:bookmarkStart w:id="325" w:name="_Toc11694"/>
      <w:bookmarkStart w:id="326" w:name="_Toc3045"/>
      <w:bookmarkStart w:id="327" w:name="_Toc21374"/>
      <w:r>
        <w:rPr>
          <w:rFonts w:hint="eastAsia"/>
          <w:b w:val="0"/>
          <w:bCs w:val="0"/>
          <w:color w:val="auto"/>
          <w:highlight w:val="none"/>
        </w:rPr>
        <w:t>（五）</w:t>
      </w:r>
      <w:bookmarkEnd w:id="320"/>
      <w:bookmarkEnd w:id="321"/>
      <w:bookmarkEnd w:id="322"/>
      <w:bookmarkEnd w:id="323"/>
      <w:bookmarkEnd w:id="324"/>
      <w:r>
        <w:rPr>
          <w:rFonts w:hint="eastAsia"/>
          <w:b w:val="0"/>
          <w:bCs w:val="0"/>
          <w:color w:val="auto"/>
          <w:highlight w:val="none"/>
        </w:rPr>
        <w:t>推动区域协同创新</w:t>
      </w:r>
      <w:bookmarkEnd w:id="325"/>
      <w:bookmarkEnd w:id="326"/>
      <w:bookmarkEnd w:id="327"/>
    </w:p>
    <w:p w14:paraId="74D549FE">
      <w:pPr>
        <w:spacing w:line="560" w:lineRule="exact"/>
        <w:ind w:firstLine="640" w:firstLineChars="200"/>
        <w:rPr>
          <w:rFonts w:eastAsia="仿宋_GB2312"/>
          <w:color w:val="auto"/>
          <w:highlight w:val="none"/>
        </w:rPr>
      </w:pPr>
      <w:r>
        <w:rPr>
          <w:rFonts w:hint="eastAsia" w:eastAsia="仿宋_GB2312"/>
          <w:color w:val="auto"/>
          <w:highlight w:val="none"/>
        </w:rPr>
        <w:t>积极融入京津冀协同创新体系建设，加强市科技创新服务中心建设，完善中国技术交易所秦皇岛技术成果交易市场服务功能，加强与中关村国家技术转移北方中心、中国创新驿站、天津北方技术交易市场等的对接，支持县区或园区建设技术交易工作站，打造线上线下互动融合的技术交易体系。加快中关村海淀园秦皇岛分园、中科院（秦皇岛）技术创新成果转化基地、中关村海淀留学人员创业园秦皇岛分园等承接载体建设，促进京津科技成果向我市转移转化。深化科技招商，围绕大健康、大数据、大物流、新制造等领域，瞄准长三角、粤港澳大湾区等国内创新资源聚集区，大力引进一批战略性产业创新平台。支持有条件的企业在先进地区或境外建立</w:t>
      </w:r>
      <w:r>
        <w:rPr>
          <w:rFonts w:hint="eastAsia" w:eastAsia="仿宋_GB2312"/>
          <w:color w:val="auto"/>
          <w:highlight w:val="none"/>
          <w:lang w:eastAsia="zh-CN"/>
        </w:rPr>
        <w:t>“</w:t>
      </w:r>
      <w:r>
        <w:rPr>
          <w:rFonts w:hint="eastAsia" w:eastAsia="仿宋_GB2312"/>
          <w:color w:val="auto"/>
          <w:highlight w:val="none"/>
        </w:rPr>
        <w:t>创新飞地</w:t>
      </w:r>
      <w:r>
        <w:rPr>
          <w:rFonts w:hint="eastAsia" w:eastAsia="仿宋_GB2312"/>
          <w:color w:val="auto"/>
          <w:highlight w:val="none"/>
          <w:lang w:eastAsia="zh-CN"/>
        </w:rPr>
        <w:t>”</w:t>
      </w:r>
      <w:r>
        <w:rPr>
          <w:rFonts w:hint="eastAsia" w:eastAsia="仿宋_GB2312"/>
          <w:color w:val="auto"/>
          <w:highlight w:val="none"/>
        </w:rPr>
        <w:t>，依托国内外先进的科技、人才、平台优势，借力发展产业和吸纳人才，搭建综合性创新创业平台。</w:t>
      </w:r>
    </w:p>
    <w:p w14:paraId="352E3FD7">
      <w:pPr>
        <w:spacing w:line="560" w:lineRule="exact"/>
        <w:ind w:firstLine="646"/>
        <w:outlineLvl w:val="1"/>
        <w:rPr>
          <w:rFonts w:eastAsia="黑体"/>
          <w:color w:val="auto"/>
          <w:highlight w:val="none"/>
        </w:rPr>
      </w:pPr>
      <w:bookmarkStart w:id="328" w:name="_Toc22887"/>
      <w:bookmarkStart w:id="329" w:name="_Toc21652"/>
      <w:bookmarkStart w:id="330" w:name="_Toc17570"/>
      <w:bookmarkStart w:id="331" w:name="_Toc26742"/>
      <w:bookmarkStart w:id="332" w:name="_Toc22256"/>
      <w:bookmarkStart w:id="333" w:name="_Toc18101"/>
      <w:bookmarkStart w:id="334" w:name="_Toc17290"/>
      <w:bookmarkStart w:id="335" w:name="_Toc13314"/>
      <w:r>
        <w:rPr>
          <w:rFonts w:hint="eastAsia" w:eastAsia="黑体"/>
          <w:color w:val="auto"/>
          <w:highlight w:val="none"/>
        </w:rPr>
        <w:t>三、</w:t>
      </w:r>
      <w:bookmarkEnd w:id="328"/>
      <w:bookmarkEnd w:id="329"/>
      <w:bookmarkEnd w:id="330"/>
      <w:bookmarkEnd w:id="331"/>
      <w:bookmarkEnd w:id="332"/>
      <w:bookmarkEnd w:id="333"/>
      <w:bookmarkStart w:id="336" w:name="_Toc25583"/>
      <w:bookmarkStart w:id="337" w:name="_Toc27365"/>
      <w:bookmarkStart w:id="338" w:name="_Toc29054"/>
      <w:bookmarkStart w:id="339" w:name="_Toc14190"/>
      <w:bookmarkStart w:id="340" w:name="_Toc20789"/>
      <w:bookmarkStart w:id="341" w:name="_Toc5419"/>
      <w:bookmarkStart w:id="342" w:name="_Toc7956"/>
      <w:r>
        <w:rPr>
          <w:rFonts w:hint="eastAsia" w:eastAsia="黑体"/>
          <w:color w:val="auto"/>
          <w:highlight w:val="none"/>
        </w:rPr>
        <w:t>大力优化创新生态</w:t>
      </w:r>
      <w:bookmarkEnd w:id="334"/>
      <w:bookmarkEnd w:id="335"/>
      <w:bookmarkEnd w:id="336"/>
      <w:bookmarkEnd w:id="337"/>
      <w:bookmarkEnd w:id="338"/>
      <w:bookmarkEnd w:id="339"/>
      <w:bookmarkEnd w:id="340"/>
      <w:bookmarkEnd w:id="341"/>
      <w:bookmarkEnd w:id="342"/>
    </w:p>
    <w:p w14:paraId="4ACA42BA">
      <w:pPr>
        <w:spacing w:line="560" w:lineRule="exact"/>
        <w:ind w:firstLine="640" w:firstLineChars="200"/>
        <w:rPr>
          <w:rFonts w:eastAsia="仿宋_GB2312"/>
          <w:color w:val="auto"/>
          <w:highlight w:val="none"/>
        </w:rPr>
      </w:pPr>
      <w:bookmarkStart w:id="343" w:name="_Toc22458"/>
      <w:bookmarkStart w:id="344" w:name="_Toc6057"/>
      <w:bookmarkStart w:id="345" w:name="_Toc14020"/>
      <w:bookmarkStart w:id="346" w:name="_Toc22509"/>
      <w:bookmarkStart w:id="347" w:name="_Toc19106"/>
      <w:bookmarkStart w:id="348" w:name="_Toc14549"/>
      <w:r>
        <w:rPr>
          <w:rFonts w:hint="eastAsia" w:eastAsia="仿宋_GB2312"/>
          <w:color w:val="auto"/>
          <w:highlight w:val="none"/>
        </w:rPr>
        <w:t>坚持人才第一资源理念，强化人才兴秦战略，深化人才和科技体制机制改革，推动人才加速集聚，创新要素融通发展，加快形成多主体协同、多要素联动、多领域互动的创新生态。</w:t>
      </w:r>
    </w:p>
    <w:p w14:paraId="5C0CC034">
      <w:pPr>
        <w:spacing w:line="560" w:lineRule="exact"/>
        <w:ind w:firstLine="640" w:firstLineChars="200"/>
        <w:outlineLvl w:val="2"/>
        <w:rPr>
          <w:b w:val="0"/>
          <w:bCs w:val="0"/>
          <w:color w:val="auto"/>
          <w:highlight w:val="none"/>
        </w:rPr>
      </w:pPr>
      <w:bookmarkStart w:id="349" w:name="_Toc14975"/>
      <w:bookmarkStart w:id="350" w:name="_Toc847"/>
      <w:r>
        <w:rPr>
          <w:rFonts w:hint="eastAsia"/>
          <w:b w:val="0"/>
          <w:bCs w:val="0"/>
          <w:color w:val="auto"/>
          <w:highlight w:val="none"/>
        </w:rPr>
        <w:t>（一）完善科技创新体制机制</w:t>
      </w:r>
      <w:bookmarkEnd w:id="343"/>
      <w:bookmarkEnd w:id="349"/>
      <w:bookmarkEnd w:id="350"/>
    </w:p>
    <w:bookmarkEnd w:id="344"/>
    <w:bookmarkEnd w:id="345"/>
    <w:bookmarkEnd w:id="346"/>
    <w:bookmarkEnd w:id="347"/>
    <w:bookmarkEnd w:id="348"/>
    <w:p w14:paraId="65CBA17D">
      <w:pPr>
        <w:spacing w:line="560" w:lineRule="exact"/>
        <w:ind w:firstLine="640" w:firstLineChars="200"/>
        <w:rPr>
          <w:rFonts w:eastAsia="仿宋_GB2312"/>
          <w:color w:val="auto"/>
          <w:highlight w:val="none"/>
        </w:rPr>
      </w:pPr>
      <w:bookmarkStart w:id="351" w:name="_Toc2417"/>
      <w:bookmarkStart w:id="352" w:name="_Toc32435"/>
      <w:bookmarkStart w:id="353" w:name="_Toc12196"/>
      <w:bookmarkStart w:id="354" w:name="_Toc17313"/>
      <w:bookmarkStart w:id="355" w:name="_Toc25412"/>
      <w:r>
        <w:rPr>
          <w:rFonts w:hint="eastAsia" w:eastAsia="仿宋_GB2312"/>
          <w:color w:val="auto"/>
          <w:highlight w:val="none"/>
        </w:rPr>
        <w:t>加快科技管理职能转变，建立财政科研投入机制，支持企业扩大研发投入，健全社会多渠道投入机制。完善科研管理机制，简化科研项目申报和过程管理，优化科研项目经费开支，推进科技攻关</w:t>
      </w:r>
      <w:r>
        <w:rPr>
          <w:rFonts w:hint="eastAsia" w:eastAsia="仿宋_GB2312"/>
          <w:color w:val="auto"/>
          <w:highlight w:val="none"/>
          <w:lang w:eastAsia="zh-CN"/>
        </w:rPr>
        <w:t>“</w:t>
      </w:r>
      <w:r>
        <w:rPr>
          <w:rFonts w:hint="eastAsia" w:eastAsia="仿宋_GB2312"/>
          <w:color w:val="auto"/>
          <w:highlight w:val="none"/>
        </w:rPr>
        <w:t>揭榜制</w:t>
      </w:r>
      <w:r>
        <w:rPr>
          <w:rFonts w:hint="eastAsia" w:eastAsia="仿宋_GB2312"/>
          <w:color w:val="auto"/>
          <w:highlight w:val="none"/>
          <w:lang w:eastAsia="zh-CN"/>
        </w:rPr>
        <w:t>”</w:t>
      </w:r>
      <w:r>
        <w:rPr>
          <w:rFonts w:hint="eastAsia" w:eastAsia="仿宋_GB2312"/>
          <w:color w:val="auto"/>
          <w:highlight w:val="none"/>
        </w:rPr>
        <w:t>和首席专家</w:t>
      </w:r>
      <w:r>
        <w:rPr>
          <w:rFonts w:hint="eastAsia" w:eastAsia="仿宋_GB2312"/>
          <w:color w:val="auto"/>
          <w:highlight w:val="none"/>
          <w:lang w:eastAsia="zh-CN"/>
        </w:rPr>
        <w:t>“</w:t>
      </w:r>
      <w:r>
        <w:rPr>
          <w:rFonts w:hint="eastAsia" w:eastAsia="仿宋_GB2312"/>
          <w:color w:val="auto"/>
          <w:highlight w:val="none"/>
        </w:rPr>
        <w:t>组阁制</w:t>
      </w:r>
      <w:r>
        <w:rPr>
          <w:rFonts w:hint="eastAsia" w:eastAsia="仿宋_GB2312"/>
          <w:color w:val="auto"/>
          <w:highlight w:val="none"/>
          <w:lang w:eastAsia="zh-CN"/>
        </w:rPr>
        <w:t>”</w:t>
      </w:r>
      <w:r>
        <w:rPr>
          <w:rFonts w:hint="eastAsia" w:eastAsia="仿宋_GB2312"/>
          <w:color w:val="auto"/>
          <w:highlight w:val="none"/>
        </w:rPr>
        <w:t>改革，推行项目经费</w:t>
      </w:r>
      <w:r>
        <w:rPr>
          <w:rFonts w:hint="eastAsia" w:eastAsia="仿宋_GB2312"/>
          <w:color w:val="auto"/>
          <w:highlight w:val="none"/>
          <w:lang w:eastAsia="zh-CN"/>
        </w:rPr>
        <w:t>“</w:t>
      </w:r>
      <w:r>
        <w:rPr>
          <w:rFonts w:hint="eastAsia" w:eastAsia="仿宋_GB2312"/>
          <w:color w:val="auto"/>
          <w:highlight w:val="none"/>
        </w:rPr>
        <w:t>包干制</w:t>
      </w:r>
      <w:r>
        <w:rPr>
          <w:rFonts w:hint="eastAsia" w:eastAsia="仿宋_GB2312"/>
          <w:color w:val="auto"/>
          <w:highlight w:val="none"/>
          <w:lang w:eastAsia="zh-CN"/>
        </w:rPr>
        <w:t>”</w:t>
      </w:r>
      <w:r>
        <w:rPr>
          <w:rFonts w:hint="eastAsia" w:eastAsia="仿宋_GB2312"/>
          <w:color w:val="auto"/>
          <w:highlight w:val="none"/>
        </w:rPr>
        <w:t>。统一科研项目监管标准。完善科技评价机制，优化科技奖励项目。深化科研机构体制改革，扩大科研院所科研自主权，推动科教类事业单位差异化分类管理，大力发展新型研发机构。健全科技创新综合服务网络服务体系，打造全链条、专业化共同服务平台，推动科技政策与产业、财政、金融等政策有机衔接。建立市县联动机制，开展创新型城市创建活动，实施县域科技创新跃升行动。牢固树立保护知识产权就是保护创新的理念，打通知识产权创造、运用、保护、管理、服务全链条，增强系统保护能力。</w:t>
      </w:r>
    </w:p>
    <w:p w14:paraId="5390E784">
      <w:pPr>
        <w:spacing w:line="560" w:lineRule="exact"/>
        <w:ind w:firstLine="640" w:firstLineChars="200"/>
        <w:outlineLvl w:val="2"/>
        <w:rPr>
          <w:b w:val="0"/>
          <w:bCs w:val="0"/>
          <w:color w:val="auto"/>
          <w:highlight w:val="none"/>
        </w:rPr>
      </w:pPr>
      <w:bookmarkStart w:id="356" w:name="_Toc18168"/>
      <w:bookmarkStart w:id="357" w:name="_Toc30496"/>
      <w:bookmarkStart w:id="358" w:name="_Toc15103"/>
      <w:r>
        <w:rPr>
          <w:rFonts w:hint="eastAsia"/>
          <w:b w:val="0"/>
          <w:bCs w:val="0"/>
          <w:color w:val="auto"/>
          <w:highlight w:val="none"/>
        </w:rPr>
        <w:t>（二）</w:t>
      </w:r>
      <w:bookmarkEnd w:id="351"/>
      <w:bookmarkEnd w:id="356"/>
      <w:r>
        <w:rPr>
          <w:rFonts w:hint="eastAsia"/>
          <w:b w:val="0"/>
          <w:bCs w:val="0"/>
          <w:color w:val="auto"/>
          <w:highlight w:val="none"/>
        </w:rPr>
        <w:t>激发人才创新创造活力</w:t>
      </w:r>
      <w:bookmarkEnd w:id="357"/>
      <w:bookmarkEnd w:id="358"/>
    </w:p>
    <w:p w14:paraId="25CA9FB8">
      <w:pPr>
        <w:spacing w:line="560" w:lineRule="exact"/>
        <w:ind w:firstLine="640" w:firstLineChars="200"/>
        <w:rPr>
          <w:rFonts w:eastAsia="仿宋_GB2312"/>
          <w:color w:val="auto"/>
          <w:highlight w:val="none"/>
        </w:rPr>
      </w:pPr>
      <w:r>
        <w:rPr>
          <w:rFonts w:hint="eastAsia" w:eastAsia="仿宋_GB2312"/>
          <w:color w:val="auto"/>
          <w:highlight w:val="none"/>
          <w:lang w:eastAsia="zh-CN"/>
        </w:rPr>
        <w:t>健全完善聚财、引才、用才机制，确保人才引得进、用得好、留得住。实施</w:t>
      </w:r>
      <w:r>
        <w:rPr>
          <w:rFonts w:hint="eastAsia" w:eastAsia="仿宋_GB2312"/>
          <w:color w:val="auto"/>
          <w:highlight w:val="none"/>
        </w:rPr>
        <w:t>创新人才引进工程，聚焦重点产业创新</w:t>
      </w:r>
      <w:r>
        <w:rPr>
          <w:rFonts w:hint="eastAsia" w:eastAsia="仿宋_GB2312"/>
          <w:color w:val="auto"/>
          <w:highlight w:val="none"/>
          <w:lang w:eastAsia="zh-CN"/>
        </w:rPr>
        <w:t>、企业发展</w:t>
      </w:r>
      <w:r>
        <w:rPr>
          <w:rFonts w:hint="eastAsia" w:eastAsia="仿宋_GB2312"/>
          <w:color w:val="auto"/>
          <w:highlight w:val="none"/>
        </w:rPr>
        <w:t>需求，绘制人才地图，构建人才数据库，研究制定人才需求、项目和政策清单，推动</w:t>
      </w:r>
      <w:r>
        <w:rPr>
          <w:rFonts w:hint="eastAsia" w:eastAsia="仿宋_GB2312"/>
          <w:color w:val="auto"/>
          <w:highlight w:val="none"/>
          <w:lang w:eastAsia="zh-CN"/>
        </w:rPr>
        <w:t>人才</w:t>
      </w:r>
      <w:r>
        <w:rPr>
          <w:rFonts w:hint="eastAsia" w:eastAsia="仿宋_GB2312"/>
          <w:color w:val="auto"/>
          <w:highlight w:val="none"/>
        </w:rPr>
        <w:t>需求与供给精准匹配</w:t>
      </w:r>
      <w:r>
        <w:rPr>
          <w:rFonts w:hint="eastAsia" w:eastAsia="仿宋_GB2312"/>
          <w:color w:val="auto"/>
          <w:highlight w:val="none"/>
          <w:lang w:eastAsia="zh-CN"/>
        </w:rPr>
        <w:t>，</w:t>
      </w:r>
      <w:r>
        <w:rPr>
          <w:rFonts w:hint="eastAsia" w:eastAsia="仿宋_GB2312"/>
          <w:color w:val="auto"/>
          <w:highlight w:val="none"/>
        </w:rPr>
        <w:t>打造以</w:t>
      </w:r>
      <w:r>
        <w:rPr>
          <w:rFonts w:hint="eastAsia" w:eastAsia="仿宋_GB2312"/>
          <w:color w:val="auto"/>
          <w:highlight w:val="none"/>
          <w:lang w:eastAsia="zh-CN"/>
        </w:rPr>
        <w:t>“</w:t>
      </w:r>
      <w:r>
        <w:rPr>
          <w:rFonts w:hint="eastAsia" w:eastAsia="仿宋_GB2312"/>
          <w:color w:val="auto"/>
          <w:highlight w:val="none"/>
        </w:rPr>
        <w:t>基础型人才、科技型人才、高端领军型人才</w:t>
      </w:r>
      <w:r>
        <w:rPr>
          <w:rFonts w:hint="eastAsia" w:eastAsia="仿宋_GB2312"/>
          <w:color w:val="auto"/>
          <w:highlight w:val="none"/>
          <w:lang w:eastAsia="zh-CN"/>
        </w:rPr>
        <w:t>”</w:t>
      </w:r>
      <w:r>
        <w:rPr>
          <w:rFonts w:hint="eastAsia" w:eastAsia="仿宋_GB2312"/>
          <w:color w:val="auto"/>
          <w:highlight w:val="none"/>
        </w:rPr>
        <w:t>为支撑的多层次人才体系。</w:t>
      </w:r>
      <w:r>
        <w:rPr>
          <w:rFonts w:hint="eastAsia" w:eastAsia="仿宋_GB2312"/>
          <w:color w:val="00B0F0"/>
          <w:highlight w:val="none"/>
          <w:lang w:eastAsia="zh-CN"/>
        </w:rPr>
        <w:t>推动</w:t>
      </w:r>
      <w:r>
        <w:rPr>
          <w:rFonts w:hint="eastAsia" w:eastAsia="仿宋_GB2312"/>
          <w:color w:val="00B0F0"/>
          <w:highlight w:val="none"/>
        </w:rPr>
        <w:t>人才招引与招商引资同步考核、同步奖惩</w:t>
      </w:r>
      <w:r>
        <w:rPr>
          <w:rFonts w:hint="eastAsia" w:eastAsia="仿宋_GB2312"/>
          <w:color w:val="auto"/>
          <w:highlight w:val="none"/>
        </w:rPr>
        <w:t>，强化招才引智内生动力。实施知识更新工程，聚焦经济社会发展和科技创新重要专业技术领域，开展大规模继续教育活动，促进专业技术人才更新知识，提高科技创新能力。实施技能提升行动，运用科教融合、校企联合等模式，加强高技能人才培训基地、技能大师工作室建设，壮大高水平工程师队伍和高技能人才队伍。健全以创新能力、质量、实效、贡献为导向的科技人才评价体系，完善高层次人才认定机制，深化职称制度改革，探索弹性薪酬制度，建立高端人才双聘制，探索人才弹性编制池，为高层次人才提供良好的创业环境和方便快捷、运行高效的服务，让更多科技领军人才和创新团队在秦皇岛创业发展。</w:t>
      </w:r>
    </w:p>
    <w:bookmarkEnd w:id="352"/>
    <w:bookmarkEnd w:id="353"/>
    <w:bookmarkEnd w:id="354"/>
    <w:bookmarkEnd w:id="355"/>
    <w:p w14:paraId="5BAF0513">
      <w:pPr>
        <w:spacing w:line="560" w:lineRule="exact"/>
        <w:ind w:firstLine="640" w:firstLineChars="200"/>
        <w:outlineLvl w:val="2"/>
        <w:rPr>
          <w:b w:val="0"/>
          <w:bCs w:val="0"/>
          <w:color w:val="auto"/>
          <w:highlight w:val="none"/>
        </w:rPr>
      </w:pPr>
      <w:bookmarkStart w:id="359" w:name="_Toc8851"/>
      <w:bookmarkStart w:id="360" w:name="_Toc32216"/>
      <w:bookmarkStart w:id="361" w:name="_Toc11051"/>
      <w:bookmarkStart w:id="362" w:name="_Toc14602"/>
      <w:r>
        <w:rPr>
          <w:rFonts w:hint="eastAsia"/>
          <w:b w:val="0"/>
          <w:bCs w:val="0"/>
          <w:color w:val="auto"/>
          <w:highlight w:val="none"/>
        </w:rPr>
        <w:t>（三）培育倡导创新文化</w:t>
      </w:r>
      <w:bookmarkEnd w:id="359"/>
      <w:bookmarkEnd w:id="360"/>
      <w:bookmarkEnd w:id="361"/>
      <w:bookmarkEnd w:id="362"/>
    </w:p>
    <w:p w14:paraId="2EC55387">
      <w:pPr>
        <w:spacing w:line="560" w:lineRule="exact"/>
        <w:ind w:firstLine="640" w:firstLineChars="200"/>
        <w:rPr>
          <w:color w:val="auto"/>
          <w:highlight w:val="none"/>
        </w:rPr>
      </w:pPr>
      <w:r>
        <w:rPr>
          <w:rFonts w:hint="eastAsia" w:eastAsia="仿宋_GB2312"/>
          <w:color w:val="auto"/>
          <w:highlight w:val="none"/>
        </w:rPr>
        <w:t>大力弘扬科学家和工匠精神，推动科学家精神进机关、进农村、进社区、进校园、进企业，在全社会营造尊重科学、尊重人才的良好氛围。规范科技伦理，树立良好的学风和作风，引导科研人员专心致志、扎实进取。激发企业家创新创业热情，广泛开展科学普及活动，提高全民科学素质，充分利用科技活动周、创新创业大赛等活动载体，激发创新精神，推动创新实践，激励创新事业，让创新在全社会蔚然成风。</w:t>
      </w:r>
    </w:p>
    <w:p w14:paraId="20AB2590">
      <w:pPr>
        <w:rPr>
          <w:color w:val="auto"/>
          <w:highlight w:val="none"/>
        </w:rPr>
      </w:pPr>
    </w:p>
    <w:p w14:paraId="1E6062A3">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jc w:val="center"/>
        <w:textAlignment w:val="auto"/>
        <w:outlineLvl w:val="0"/>
        <w:rPr>
          <w:rFonts w:eastAsia="宋体"/>
          <w:b/>
          <w:color w:val="auto"/>
          <w:sz w:val="36"/>
          <w:szCs w:val="36"/>
          <w:highlight w:val="none"/>
        </w:rPr>
      </w:pPr>
      <w:bookmarkStart w:id="363" w:name="_Toc10107"/>
      <w:r>
        <w:rPr>
          <w:rFonts w:hint="eastAsia" w:eastAsia="宋体"/>
          <w:b/>
          <w:color w:val="auto"/>
          <w:sz w:val="36"/>
          <w:szCs w:val="36"/>
          <w:highlight w:val="none"/>
        </w:rPr>
        <w:t>第六章　全面深化改革扩大开放，增强经济社会发展</w:t>
      </w:r>
      <w:r>
        <w:rPr>
          <w:rFonts w:hint="eastAsia" w:eastAsia="宋体"/>
          <w:b/>
          <w:color w:val="auto"/>
          <w:sz w:val="36"/>
          <w:szCs w:val="36"/>
          <w:highlight w:val="none"/>
          <w:lang w:val="en-US" w:eastAsia="zh-CN"/>
        </w:rPr>
        <w:t xml:space="preserve">  </w:t>
      </w:r>
      <w:r>
        <w:rPr>
          <w:rFonts w:hint="eastAsia" w:eastAsia="宋体"/>
          <w:b/>
          <w:color w:val="auto"/>
          <w:sz w:val="36"/>
          <w:szCs w:val="36"/>
          <w:highlight w:val="none"/>
        </w:rPr>
        <w:t>动力和活力</w:t>
      </w:r>
      <w:bookmarkEnd w:id="264"/>
      <w:bookmarkEnd w:id="265"/>
      <w:bookmarkEnd w:id="363"/>
    </w:p>
    <w:p w14:paraId="29852BB6">
      <w:pPr>
        <w:spacing w:line="560" w:lineRule="exact"/>
        <w:ind w:firstLine="640" w:firstLineChars="200"/>
        <w:rPr>
          <w:rFonts w:eastAsia="仿宋_GB2312"/>
          <w:color w:val="auto"/>
          <w:highlight w:val="none"/>
        </w:rPr>
      </w:pPr>
      <w:r>
        <w:rPr>
          <w:rFonts w:hint="eastAsia" w:eastAsia="仿宋_GB2312"/>
          <w:color w:val="auto"/>
          <w:highlight w:val="none"/>
        </w:rPr>
        <w:t>坚定不移推进改革，加快完善社会主义市场经济体系，充分发挥市场在资源配置中的决定性作用，更好发挥政府作用，坚定不移扩大开放，形成全方位、多层次、多元化、高水平开放格局。</w:t>
      </w:r>
    </w:p>
    <w:p w14:paraId="64A2D4AC">
      <w:pPr>
        <w:spacing w:line="560" w:lineRule="exact"/>
        <w:ind w:firstLine="646"/>
        <w:outlineLvl w:val="1"/>
        <w:rPr>
          <w:rFonts w:eastAsia="黑体"/>
          <w:color w:val="auto"/>
          <w:highlight w:val="none"/>
        </w:rPr>
      </w:pPr>
      <w:bookmarkStart w:id="364" w:name="_Toc18355"/>
      <w:bookmarkStart w:id="365" w:name="_Toc13013"/>
      <w:bookmarkStart w:id="366" w:name="_Toc1080"/>
      <w:r>
        <w:rPr>
          <w:rFonts w:hint="eastAsia" w:eastAsia="黑体"/>
          <w:color w:val="auto"/>
          <w:highlight w:val="none"/>
        </w:rPr>
        <w:t>一、持续深化重点领域改革</w:t>
      </w:r>
      <w:bookmarkEnd w:id="364"/>
      <w:bookmarkEnd w:id="365"/>
      <w:bookmarkEnd w:id="366"/>
    </w:p>
    <w:p w14:paraId="36F6896E">
      <w:pPr>
        <w:spacing w:line="560" w:lineRule="exact"/>
        <w:ind w:firstLine="640" w:firstLineChars="200"/>
        <w:rPr>
          <w:rFonts w:eastAsia="仿宋_GB2312"/>
          <w:color w:val="auto"/>
          <w:highlight w:val="none"/>
        </w:rPr>
      </w:pPr>
      <w:r>
        <w:rPr>
          <w:rFonts w:hint="eastAsia" w:eastAsia="仿宋_GB2312"/>
          <w:color w:val="auto"/>
          <w:highlight w:val="none"/>
        </w:rPr>
        <w:t>聚焦经济重点领域和突出问题，创新制度供给，加强改革举措的系统集成、协同高效，打通瘀点堵点痛点，激发整体效能，营造长期稳定可预期的制度环境。</w:t>
      </w:r>
    </w:p>
    <w:p w14:paraId="4A61ED9F">
      <w:pPr>
        <w:spacing w:line="560" w:lineRule="exact"/>
        <w:ind w:firstLine="640" w:firstLineChars="200"/>
        <w:outlineLvl w:val="2"/>
        <w:rPr>
          <w:b w:val="0"/>
          <w:bCs w:val="0"/>
          <w:color w:val="auto"/>
          <w:highlight w:val="none"/>
        </w:rPr>
      </w:pPr>
      <w:bookmarkStart w:id="367" w:name="_Toc4225"/>
      <w:bookmarkStart w:id="368" w:name="_Toc24600"/>
      <w:bookmarkStart w:id="369" w:name="_Toc4160"/>
      <w:r>
        <w:rPr>
          <w:rFonts w:hint="eastAsia"/>
          <w:b w:val="0"/>
          <w:bCs w:val="0"/>
          <w:color w:val="auto"/>
          <w:highlight w:val="none"/>
        </w:rPr>
        <w:t>（一）深化投融资体制改革</w:t>
      </w:r>
      <w:bookmarkEnd w:id="367"/>
      <w:bookmarkEnd w:id="368"/>
      <w:bookmarkEnd w:id="369"/>
    </w:p>
    <w:p w14:paraId="62AA7C6B">
      <w:pPr>
        <w:spacing w:line="560" w:lineRule="exact"/>
        <w:ind w:firstLine="640" w:firstLineChars="200"/>
        <w:rPr>
          <w:rFonts w:eastAsia="仿宋_GB2312"/>
          <w:color w:val="auto"/>
          <w:highlight w:val="none"/>
        </w:rPr>
      </w:pPr>
      <w:r>
        <w:rPr>
          <w:rFonts w:hint="eastAsia" w:eastAsia="仿宋_GB2312"/>
          <w:color w:val="auto"/>
          <w:highlight w:val="none"/>
        </w:rPr>
        <w:t>深化投资体制改革。优化政府投资项目决策程序和实施程序，完善政府投资全过程监管制度，提升政府投资管理水平。持续提升投资建设便利度，优化再造投资项目前期审批流程，提升工程建设项目审批效率，推广社会投资备案类项目</w:t>
      </w:r>
      <w:r>
        <w:rPr>
          <w:rFonts w:hint="eastAsia" w:eastAsia="仿宋_GB2312"/>
          <w:color w:val="auto"/>
          <w:highlight w:val="none"/>
          <w:lang w:eastAsia="zh-CN"/>
        </w:rPr>
        <w:t>“</w:t>
      </w:r>
      <w:r>
        <w:rPr>
          <w:rFonts w:hint="eastAsia" w:eastAsia="仿宋_GB2312"/>
          <w:color w:val="auto"/>
          <w:highlight w:val="none"/>
        </w:rPr>
        <w:t>企业承诺制</w:t>
      </w:r>
      <w:r>
        <w:rPr>
          <w:rFonts w:hint="eastAsia" w:eastAsia="仿宋_GB2312"/>
          <w:color w:val="auto"/>
          <w:highlight w:val="none"/>
          <w:lang w:eastAsia="zh-CN"/>
        </w:rPr>
        <w:t>”</w:t>
      </w:r>
      <w:r>
        <w:rPr>
          <w:rFonts w:hint="eastAsia" w:eastAsia="仿宋_GB2312"/>
          <w:color w:val="auto"/>
          <w:highlight w:val="none"/>
        </w:rPr>
        <w:t>。</w:t>
      </w:r>
      <w:bookmarkStart w:id="370" w:name="_Toc248"/>
      <w:bookmarkStart w:id="371" w:name="_Toc1864"/>
      <w:r>
        <w:rPr>
          <w:rFonts w:hint="eastAsia" w:eastAsia="仿宋_GB2312"/>
          <w:color w:val="auto"/>
          <w:highlight w:val="none"/>
        </w:rPr>
        <w:t>完善招投标制度，健全招标人决策机制，进一步落实招标人自主权。</w:t>
      </w:r>
    </w:p>
    <w:p w14:paraId="3EC4E141">
      <w:pPr>
        <w:spacing w:line="560" w:lineRule="exact"/>
        <w:ind w:firstLine="640" w:firstLineChars="200"/>
        <w:rPr>
          <w:rFonts w:eastAsia="仿宋_GB2312"/>
          <w:color w:val="auto"/>
          <w:highlight w:val="none"/>
        </w:rPr>
      </w:pPr>
      <w:r>
        <w:rPr>
          <w:rFonts w:hint="eastAsia" w:eastAsia="仿宋_GB2312"/>
          <w:color w:val="auto"/>
          <w:highlight w:val="none"/>
        </w:rPr>
        <w:t>深化金融改革创新。搭建线上</w:t>
      </w:r>
      <w:r>
        <w:rPr>
          <w:rFonts w:hint="eastAsia" w:eastAsia="仿宋_GB2312"/>
          <w:color w:val="auto"/>
          <w:highlight w:val="none"/>
          <w:lang w:eastAsia="zh-CN"/>
        </w:rPr>
        <w:t>“</w:t>
      </w:r>
      <w:r>
        <w:rPr>
          <w:rFonts w:hint="eastAsia" w:eastAsia="仿宋_GB2312"/>
          <w:color w:val="auto"/>
          <w:highlight w:val="none"/>
        </w:rPr>
        <w:t>秦皇岛市综合金融服务平台</w:t>
      </w:r>
      <w:r>
        <w:rPr>
          <w:rFonts w:hint="eastAsia" w:eastAsia="仿宋_GB2312"/>
          <w:color w:val="auto"/>
          <w:highlight w:val="none"/>
          <w:lang w:eastAsia="zh-CN"/>
        </w:rPr>
        <w:t>”</w:t>
      </w:r>
      <w:r>
        <w:rPr>
          <w:rFonts w:hint="eastAsia" w:eastAsia="仿宋_GB2312"/>
          <w:color w:val="auto"/>
          <w:highlight w:val="none"/>
        </w:rPr>
        <w:t>，推动跨区域、跨部门的金融服务信用信息共享。大力发展普惠金融，壮大金融市场主体，吸引更多的国内外金融机构来秦设立法人机构。加速农村信用社改革，实现股权结构多元化。</w:t>
      </w:r>
      <w:r>
        <w:rPr>
          <w:rFonts w:hint="eastAsia" w:eastAsia="仿宋_GB2312"/>
          <w:color w:val="auto"/>
          <w:highlight w:val="none"/>
          <w:lang w:eastAsia="zh-CN"/>
        </w:rPr>
        <w:t>整合现有各类融资平台，集中配置优质高效资源，提高投融资能力。成立金融担保集团，引导</w:t>
      </w:r>
      <w:r>
        <w:rPr>
          <w:rFonts w:hint="eastAsia" w:eastAsia="仿宋_GB2312"/>
          <w:color w:val="auto"/>
          <w:highlight w:val="none"/>
        </w:rPr>
        <w:t>金融机构创新</w:t>
      </w:r>
      <w:r>
        <w:rPr>
          <w:rFonts w:hint="eastAsia" w:eastAsia="仿宋_GB2312"/>
          <w:color w:val="auto"/>
          <w:highlight w:val="none"/>
          <w:lang w:eastAsia="zh-CN"/>
        </w:rPr>
        <w:t>股权、知识产权、预期收益等</w:t>
      </w:r>
      <w:r>
        <w:rPr>
          <w:rFonts w:hint="eastAsia" w:eastAsia="仿宋_GB2312"/>
          <w:color w:val="auto"/>
          <w:highlight w:val="none"/>
        </w:rPr>
        <w:t>抵押担保方式。支持产业园区、行业性自律组织和大型商贸物流企业等牵头建立中小企业贷款互保、联保机制。加强防范和化解金融风险，建立健全金融风险监测预警体系，精准识别金融风险，制定落实应对措施和应急预案，稳妥审慎处置。</w:t>
      </w:r>
    </w:p>
    <w:p w14:paraId="1FABE70A">
      <w:pPr>
        <w:spacing w:line="560" w:lineRule="exact"/>
        <w:ind w:firstLine="640" w:firstLineChars="200"/>
        <w:outlineLvl w:val="2"/>
        <w:rPr>
          <w:b w:val="0"/>
          <w:bCs w:val="0"/>
          <w:color w:val="auto"/>
          <w:highlight w:val="none"/>
        </w:rPr>
      </w:pPr>
      <w:bookmarkStart w:id="372" w:name="_Toc1573"/>
      <w:bookmarkStart w:id="373" w:name="_Toc13782"/>
      <w:bookmarkStart w:id="374" w:name="_Toc3764"/>
      <w:bookmarkStart w:id="375" w:name="_Toc16668"/>
      <w:r>
        <w:rPr>
          <w:rFonts w:hint="eastAsia"/>
          <w:b w:val="0"/>
          <w:bCs w:val="0"/>
          <w:color w:val="auto"/>
          <w:highlight w:val="none"/>
        </w:rPr>
        <w:t>（</w:t>
      </w:r>
      <w:r>
        <w:rPr>
          <w:rFonts w:hint="eastAsia"/>
          <w:b w:val="0"/>
          <w:bCs w:val="0"/>
          <w:color w:val="auto"/>
          <w:highlight w:val="none"/>
          <w:lang w:eastAsia="zh-CN"/>
        </w:rPr>
        <w:t>二</w:t>
      </w:r>
      <w:r>
        <w:rPr>
          <w:rFonts w:hint="eastAsia"/>
          <w:b w:val="0"/>
          <w:bCs w:val="0"/>
          <w:color w:val="auto"/>
          <w:highlight w:val="none"/>
        </w:rPr>
        <w:t>）深化开发区改革</w:t>
      </w:r>
      <w:bookmarkEnd w:id="372"/>
      <w:bookmarkEnd w:id="373"/>
      <w:bookmarkEnd w:id="374"/>
    </w:p>
    <w:p w14:paraId="2C61B5DB">
      <w:pPr>
        <w:spacing w:line="560" w:lineRule="exact"/>
        <w:ind w:firstLine="640" w:firstLineChars="200"/>
        <w:rPr>
          <w:rFonts w:eastAsia="仿宋_GB2312"/>
          <w:color w:val="auto"/>
          <w:highlight w:val="none"/>
        </w:rPr>
      </w:pPr>
      <w:r>
        <w:rPr>
          <w:rFonts w:hint="eastAsia" w:eastAsia="仿宋_GB2312"/>
          <w:color w:val="auto"/>
          <w:highlight w:val="none"/>
        </w:rPr>
        <w:t>深化开发区管理体制机制。突出开发区经济发展主战场地位和作用，进一步强化招商引资、投资服务、项目建设、经济建设、科技创新等经济发展功能。鼓励和支持开发区实行管理机构与运营企业分离制度，管理机构负责开发区的政策制定、发展规划、行政审批、投资促进、企业服务等工作，专业运营企业负责开发区的区域开发、投融资、基础设施建设、招商引资、专业服务等工作。鼓励支持秦皇岛经济技术开发区通过托管、股份合作、共建共管、飞地经济、一区多园等模式对全市开发区实施空间和资源整合。支持县区政府向社会公开选择开发区建设运营机构，引入社会资本和外来资本，开发运营特色产业园区。</w:t>
      </w:r>
    </w:p>
    <w:p w14:paraId="7B9E2B35">
      <w:pPr>
        <w:spacing w:line="560" w:lineRule="exact"/>
        <w:ind w:firstLine="640" w:firstLineChars="200"/>
        <w:rPr>
          <w:rFonts w:eastAsia="仿宋_GB2312"/>
          <w:color w:val="auto"/>
          <w:highlight w:val="none"/>
        </w:rPr>
      </w:pPr>
      <w:r>
        <w:rPr>
          <w:rFonts w:hint="eastAsia" w:eastAsia="仿宋_GB2312"/>
          <w:color w:val="auto"/>
          <w:highlight w:val="none"/>
        </w:rPr>
        <w:t>深入推进人事薪酬制度改革。支持开发区管理机构根据干部人事政策和发展需要，在核定的用人额度内，创新选人用人机制。推进开发区聘任制改革，有序推进机构整合归并，推行岗位公开、择岗自愿、竞争上岗、公开招聘，实现人员能进能出、岗位能上能下。改革完善开发区薪酬制度，推行低底薪、高绩效的工资制度，鼓励将招商成果、服务绩效纳入考核奖励，探索实行兼职兼薪、协议工资、年薪制、项目工资等多种分配方式。</w:t>
      </w:r>
    </w:p>
    <w:p w14:paraId="58AB1954">
      <w:pPr>
        <w:spacing w:line="560" w:lineRule="exact"/>
        <w:ind w:firstLine="640" w:firstLineChars="200"/>
        <w:rPr>
          <w:rFonts w:hint="eastAsia" w:eastAsia="仿宋_GB2312"/>
          <w:color w:val="auto"/>
          <w:highlight w:val="none"/>
        </w:rPr>
      </w:pPr>
      <w:r>
        <w:rPr>
          <w:rFonts w:hint="eastAsia" w:eastAsia="仿宋_GB2312"/>
          <w:color w:val="auto"/>
          <w:highlight w:val="none"/>
        </w:rPr>
        <w:t>深化开发区项目建设项目审批制度改革。开发区内涉及市域统筹平衡项目条件的重点项目，由市级相关部门依据项目申请和职能权限提前介入，依法办理建设手续。在全市省级开发区全面推广企业投资项目承诺制试点经验，对《河北省禁止投资的产业目录》和《河北省政府核准的投资项目目录》外的项目，建立前置事项承诺、承诺公示、联合验收、信用评价、责任追究、全过程监管等制度，实行先建后验模式。实行工程建设项目</w:t>
      </w:r>
      <w:r>
        <w:rPr>
          <w:rFonts w:hint="eastAsia" w:eastAsia="仿宋_GB2312"/>
          <w:color w:val="auto"/>
          <w:highlight w:val="none"/>
          <w:lang w:eastAsia="zh-CN"/>
        </w:rPr>
        <w:t>“</w:t>
      </w:r>
      <w:r>
        <w:rPr>
          <w:rFonts w:hint="eastAsia" w:eastAsia="仿宋_GB2312"/>
          <w:color w:val="auto"/>
          <w:highlight w:val="none"/>
        </w:rPr>
        <w:t>区域评估</w:t>
      </w:r>
      <w:r>
        <w:rPr>
          <w:rFonts w:eastAsia="仿宋_GB2312"/>
          <w:color w:val="auto"/>
          <w:highlight w:val="none"/>
        </w:rPr>
        <w:t>+</w:t>
      </w:r>
      <w:r>
        <w:rPr>
          <w:rFonts w:hint="eastAsia" w:eastAsia="仿宋_GB2312"/>
          <w:color w:val="auto"/>
          <w:highlight w:val="none"/>
        </w:rPr>
        <w:t>负面清单</w:t>
      </w:r>
      <w:r>
        <w:rPr>
          <w:rFonts w:hint="eastAsia" w:eastAsia="仿宋_GB2312"/>
          <w:color w:val="auto"/>
          <w:highlight w:val="none"/>
          <w:lang w:eastAsia="zh-CN"/>
        </w:rPr>
        <w:t>”</w:t>
      </w:r>
      <w:r>
        <w:rPr>
          <w:rFonts w:hint="eastAsia" w:eastAsia="仿宋_GB2312"/>
          <w:color w:val="auto"/>
          <w:highlight w:val="none"/>
        </w:rPr>
        <w:t>制度，对列入国家规划项目和省市重点项目，探索涵盖环评、能评、水评、安评的</w:t>
      </w:r>
      <w:r>
        <w:rPr>
          <w:rFonts w:hint="eastAsia" w:eastAsia="仿宋_GB2312"/>
          <w:color w:val="auto"/>
          <w:highlight w:val="none"/>
          <w:lang w:eastAsia="zh-CN"/>
        </w:rPr>
        <w:t>“</w:t>
      </w:r>
      <w:r>
        <w:rPr>
          <w:rFonts w:hint="eastAsia" w:eastAsia="仿宋_GB2312"/>
          <w:color w:val="auto"/>
          <w:highlight w:val="none"/>
        </w:rPr>
        <w:t>多评合一</w:t>
      </w:r>
      <w:r>
        <w:rPr>
          <w:rFonts w:hint="eastAsia" w:eastAsia="仿宋_GB2312"/>
          <w:color w:val="auto"/>
          <w:highlight w:val="none"/>
          <w:lang w:eastAsia="zh-CN"/>
        </w:rPr>
        <w:t>”</w:t>
      </w:r>
      <w:r>
        <w:rPr>
          <w:rFonts w:hint="eastAsia" w:eastAsia="仿宋_GB2312"/>
          <w:color w:val="auto"/>
          <w:highlight w:val="none"/>
        </w:rPr>
        <w:t>。</w:t>
      </w:r>
    </w:p>
    <w:p w14:paraId="122E1437">
      <w:pPr>
        <w:spacing w:line="560" w:lineRule="exact"/>
        <w:ind w:firstLine="640" w:firstLineChars="200"/>
        <w:rPr>
          <w:rFonts w:eastAsia="仿宋_GB2312"/>
          <w:color w:val="auto"/>
          <w:highlight w:val="none"/>
        </w:rPr>
      </w:pPr>
      <w:r>
        <w:rPr>
          <w:rFonts w:hint="eastAsia" w:eastAsia="仿宋_GB2312"/>
          <w:color w:val="auto"/>
          <w:highlight w:val="none"/>
        </w:rPr>
        <w:t>优化提升开发区能级</w:t>
      </w:r>
      <w:r>
        <w:rPr>
          <w:rFonts w:hint="eastAsia" w:eastAsia="仿宋_GB2312"/>
          <w:color w:val="auto"/>
          <w:highlight w:val="none"/>
          <w:lang w:eastAsia="zh-CN"/>
        </w:rPr>
        <w:t>。把开发区等各类园区平台建设放在更加突出位置，</w:t>
      </w:r>
      <w:r>
        <w:rPr>
          <w:rFonts w:hint="eastAsia" w:eastAsia="仿宋_GB2312"/>
          <w:color w:val="auto"/>
          <w:highlight w:val="none"/>
        </w:rPr>
        <w:t>进一步加快开发区发展速度，扩大经济总量，力争到</w:t>
      </w:r>
      <w:r>
        <w:rPr>
          <w:rFonts w:hint="eastAsia" w:eastAsia="仿宋_GB2312"/>
          <w:color w:val="auto"/>
          <w:highlight w:val="none"/>
          <w:lang w:eastAsia="zh-CN"/>
        </w:rPr>
        <w:t>“</w:t>
      </w:r>
      <w:r>
        <w:rPr>
          <w:rFonts w:hint="eastAsia" w:eastAsia="仿宋_GB2312"/>
          <w:color w:val="auto"/>
          <w:highlight w:val="none"/>
        </w:rPr>
        <w:t>十四五</w:t>
      </w:r>
      <w:r>
        <w:rPr>
          <w:rFonts w:hint="eastAsia" w:eastAsia="仿宋_GB2312"/>
          <w:color w:val="auto"/>
          <w:highlight w:val="none"/>
          <w:lang w:eastAsia="zh-CN"/>
        </w:rPr>
        <w:t>”</w:t>
      </w:r>
      <w:r>
        <w:rPr>
          <w:rFonts w:hint="eastAsia" w:eastAsia="仿宋_GB2312"/>
          <w:color w:val="auto"/>
          <w:highlight w:val="none"/>
        </w:rPr>
        <w:t>末全市经济开发区经济总量比</w:t>
      </w:r>
      <w:r>
        <w:rPr>
          <w:rFonts w:hint="eastAsia" w:eastAsia="仿宋_GB2312"/>
          <w:color w:val="auto"/>
          <w:highlight w:val="none"/>
          <w:lang w:eastAsia="zh-CN"/>
        </w:rPr>
        <w:t>“</w:t>
      </w:r>
      <w:r>
        <w:rPr>
          <w:rFonts w:hint="eastAsia" w:eastAsia="仿宋_GB2312"/>
          <w:color w:val="auto"/>
          <w:highlight w:val="none"/>
        </w:rPr>
        <w:t>十三五</w:t>
      </w:r>
      <w:r>
        <w:rPr>
          <w:rFonts w:hint="eastAsia" w:eastAsia="仿宋_GB2312"/>
          <w:color w:val="auto"/>
          <w:highlight w:val="none"/>
          <w:lang w:eastAsia="zh-CN"/>
        </w:rPr>
        <w:t>”</w:t>
      </w:r>
      <w:r>
        <w:rPr>
          <w:rFonts w:hint="eastAsia" w:eastAsia="仿宋_GB2312"/>
          <w:color w:val="auto"/>
          <w:highlight w:val="none"/>
        </w:rPr>
        <w:t>末实现翻一番。其中：秦皇岛经济技术开发区经济总量不低于全市经济开发区总量的</w:t>
      </w:r>
      <w:r>
        <w:rPr>
          <w:rFonts w:eastAsia="仿宋_GB2312"/>
          <w:color w:val="auto"/>
          <w:highlight w:val="none"/>
        </w:rPr>
        <w:t>50%</w:t>
      </w:r>
      <w:r>
        <w:rPr>
          <w:rFonts w:hint="eastAsia" w:eastAsia="仿宋_GB2312"/>
          <w:color w:val="auto"/>
          <w:highlight w:val="none"/>
        </w:rPr>
        <w:t>，经济总量没有达到百亿元以上的省级开发区，确保跨上百亿元台阶；各省级经济开发区在全省开发区进位争先，提高开发区产业水平、投资强度、亩均效益。坚持开发区基础设施建设适度超前，推动开发区建设与城市基础设施、公共服务设施建设一体化布局和联动化发展，同步规划建设信息基础设施，建设创新型智慧园区。</w:t>
      </w:r>
    </w:p>
    <w:p w14:paraId="403E0F4E">
      <w:pPr>
        <w:spacing w:line="560" w:lineRule="exact"/>
        <w:ind w:firstLine="640" w:firstLineChars="200"/>
        <w:outlineLvl w:val="2"/>
        <w:rPr>
          <w:rFonts w:hint="eastAsia" w:eastAsia="仿宋_GB2312"/>
          <w:color w:val="auto"/>
          <w:highlight w:val="none"/>
        </w:rPr>
      </w:pPr>
      <w:bookmarkStart w:id="376" w:name="_Toc26808"/>
      <w:bookmarkStart w:id="377" w:name="_Toc4669"/>
      <w:r>
        <w:rPr>
          <w:rFonts w:hint="eastAsia"/>
          <w:b w:val="0"/>
          <w:bCs w:val="0"/>
          <w:color w:val="auto"/>
          <w:highlight w:val="none"/>
        </w:rPr>
        <w:t>（</w:t>
      </w:r>
      <w:r>
        <w:rPr>
          <w:rFonts w:hint="eastAsia"/>
          <w:b w:val="0"/>
          <w:bCs w:val="0"/>
          <w:color w:val="auto"/>
          <w:highlight w:val="none"/>
          <w:lang w:eastAsia="zh-CN"/>
        </w:rPr>
        <w:t>三</w:t>
      </w:r>
      <w:r>
        <w:rPr>
          <w:rFonts w:hint="eastAsia"/>
          <w:b w:val="0"/>
          <w:bCs w:val="0"/>
          <w:color w:val="auto"/>
          <w:highlight w:val="none"/>
        </w:rPr>
        <w:t>）深化国资国企改革</w:t>
      </w:r>
      <w:bookmarkEnd w:id="376"/>
    </w:p>
    <w:p w14:paraId="7581350D">
      <w:pPr>
        <w:spacing w:line="560" w:lineRule="exact"/>
        <w:ind w:firstLine="640" w:firstLineChars="200"/>
        <w:rPr>
          <w:rFonts w:hint="eastAsia" w:eastAsia="仿宋_GB2312"/>
          <w:color w:val="auto"/>
          <w:highlight w:val="none"/>
        </w:rPr>
      </w:pPr>
      <w:r>
        <w:rPr>
          <w:rFonts w:hint="eastAsia" w:eastAsia="仿宋_GB2312"/>
          <w:color w:val="auto"/>
          <w:highlight w:val="none"/>
        </w:rPr>
        <w:t>健全完善现代企业制度，坚持党的领导和健全完善企业治理有机统一，加快建立各司其职、各负其责、协调运转、有效制衡的公司法人治理机制。深入实施国企改革三年行动，推进市属国有企业布局优化和结构调整，坚持以企业为主体、市场为导向，有进有退、有所为有所不为，持续推进国有企业瘦身健体、提质增效。积极稳妥推进混合所有制改革，坚持因业施策、因企施策，宜独则独、宜控则控、宜参则参，重点推进国有资本投资、运营公司出资企业和商业类企业进行混合所有制改革。完善市场化薪酬分配机制，调整优化工资总额管理方式，建立健全按业绩贡献决定薪酬的分配机制，推动薪酬分配向作出突出贡献的人才和一线关键苦脏险累岗位倾斜。构建以管资本为主的国有资产监管体制，坚持授权与监管相结合、放活与管好相统一，改进经营业绩考核评价体系，强化监督协同，促进国有资产保值增值。</w:t>
      </w:r>
    </w:p>
    <w:p w14:paraId="193E4BA2">
      <w:pPr>
        <w:spacing w:line="560" w:lineRule="exact"/>
        <w:ind w:firstLine="640" w:firstLineChars="200"/>
        <w:rPr>
          <w:rFonts w:hint="eastAsia" w:eastAsia="仿宋_GB2312"/>
          <w:color w:val="auto"/>
          <w:highlight w:val="none"/>
          <w:lang w:eastAsia="zh-CN"/>
        </w:rPr>
      </w:pPr>
      <w:r>
        <w:rPr>
          <w:rFonts w:hint="eastAsia" w:eastAsia="仿宋_GB2312"/>
          <w:color w:val="auto"/>
          <w:highlight w:val="none"/>
        </w:rPr>
        <w:t>（</w:t>
      </w:r>
      <w:r>
        <w:rPr>
          <w:rFonts w:hint="eastAsia" w:eastAsia="仿宋_GB2312"/>
          <w:color w:val="auto"/>
          <w:highlight w:val="none"/>
          <w:lang w:eastAsia="zh-CN"/>
        </w:rPr>
        <w:t>四</w:t>
      </w:r>
      <w:r>
        <w:rPr>
          <w:rFonts w:hint="eastAsia" w:eastAsia="仿宋_GB2312"/>
          <w:color w:val="auto"/>
          <w:highlight w:val="none"/>
        </w:rPr>
        <w:t>）</w:t>
      </w:r>
      <w:bookmarkEnd w:id="375"/>
      <w:bookmarkEnd w:id="377"/>
      <w:r>
        <w:rPr>
          <w:rFonts w:hint="eastAsia" w:eastAsia="仿宋_GB2312"/>
          <w:color w:val="auto"/>
          <w:highlight w:val="none"/>
          <w:lang w:eastAsia="zh-CN"/>
        </w:rPr>
        <w:t>建设高标准市场体系</w:t>
      </w:r>
    </w:p>
    <w:p w14:paraId="33435ABC">
      <w:pPr>
        <w:spacing w:line="560" w:lineRule="exact"/>
        <w:ind w:firstLine="640" w:firstLineChars="200"/>
        <w:rPr>
          <w:rFonts w:hint="eastAsia" w:eastAsia="仿宋_GB2312"/>
          <w:color w:val="auto"/>
          <w:highlight w:val="none"/>
          <w:lang w:eastAsia="zh-CN"/>
        </w:rPr>
      </w:pPr>
      <w:r>
        <w:rPr>
          <w:rFonts w:hint="eastAsia" w:eastAsia="仿宋_GB2312"/>
          <w:color w:val="auto"/>
          <w:highlight w:val="none"/>
          <w:lang w:eastAsia="zh-CN"/>
        </w:rPr>
        <w:t>坚持平等准入、公正监管、开放有序、诚信守法，实施高标准市场体系建设行动，深化要素市场化改革，完善交易规则和服务体系，形成高效规范、公平竞争的统一市场，促进商品和要素自由流动平等交换。</w:t>
      </w:r>
    </w:p>
    <w:p w14:paraId="62AD6697">
      <w:pPr>
        <w:spacing w:line="560" w:lineRule="exact"/>
        <w:ind w:firstLine="640" w:firstLineChars="200"/>
        <w:rPr>
          <w:rFonts w:hint="eastAsia" w:eastAsia="仿宋_GB2312"/>
          <w:color w:val="auto"/>
          <w:highlight w:val="none"/>
        </w:rPr>
      </w:pPr>
      <w:r>
        <w:rPr>
          <w:rFonts w:hint="eastAsia" w:eastAsia="仿宋_GB2312"/>
          <w:color w:val="auto"/>
          <w:highlight w:val="none"/>
        </w:rPr>
        <w:t>推进产业用地市场化配置改革，建立以亩均效益为导向的土地资源配置机制，研究推动不同产业用地类型合理转换机制，探索增加混合产业用地供给；完善城镇建设用地价格形成机制和存量土地盘活利用政策，提高土地利用水平；健全补充耕地指标调剂办法，保障建设用地区域占补平衡需要。建立劳动力和人才社会性流动体制机制，畅通人才跨所有制流动渠道，保障劳动者享有平等就业权利；完善以职业能力为核心的分类评定体系，推进职业资格与职称、职业技能等级制度有效衔接。构建金融有效支持实体经济体制机制，积极引导和支持企业到资本市场挂牌上市融资，鼓励符合条件的企业依法发行债券，支持企业资产证券化。深化科技成果使用权、处置权和收益权改革，赋予科研人员职务科技成果所有权或长期使用权，提高科技人员成果转化收益比例；促进发展科技成果、专利等资产评估服务，促进技术要素有序流动和价格合理形成；强化知识产权保护和运用，推动科技成果资本化。培育数字要素市场，着力构建从多元归集、整合共享、开放流通到社会应用的数字要素市场，探索数据生产要素按贡献参与分配。</w:t>
      </w:r>
    </w:p>
    <w:bookmarkEnd w:id="370"/>
    <w:bookmarkEnd w:id="371"/>
    <w:p w14:paraId="5443CA67">
      <w:pPr>
        <w:spacing w:line="560" w:lineRule="exact"/>
        <w:ind w:firstLine="646"/>
        <w:outlineLvl w:val="1"/>
        <w:rPr>
          <w:rFonts w:eastAsia="黑体"/>
          <w:color w:val="auto"/>
          <w:highlight w:val="none"/>
        </w:rPr>
      </w:pPr>
      <w:bookmarkStart w:id="378" w:name="_Toc18629"/>
      <w:bookmarkStart w:id="379" w:name="_Toc22042"/>
      <w:bookmarkStart w:id="380" w:name="_Toc22277"/>
      <w:r>
        <w:rPr>
          <w:rFonts w:hint="eastAsia" w:eastAsia="黑体"/>
          <w:color w:val="auto"/>
          <w:highlight w:val="none"/>
        </w:rPr>
        <w:t>二、</w:t>
      </w:r>
      <w:bookmarkEnd w:id="378"/>
      <w:bookmarkEnd w:id="379"/>
      <w:r>
        <w:rPr>
          <w:rFonts w:hint="eastAsia" w:eastAsia="黑体"/>
          <w:color w:val="auto"/>
          <w:highlight w:val="none"/>
        </w:rPr>
        <w:t>全方位对外开放</w:t>
      </w:r>
      <w:bookmarkEnd w:id="380"/>
    </w:p>
    <w:p w14:paraId="5515E968">
      <w:pPr>
        <w:spacing w:line="560" w:lineRule="exact"/>
        <w:ind w:firstLine="640" w:firstLineChars="200"/>
        <w:rPr>
          <w:rFonts w:eastAsia="仿宋_GB2312"/>
          <w:color w:val="auto"/>
          <w:highlight w:val="none"/>
        </w:rPr>
      </w:pPr>
      <w:bookmarkStart w:id="381" w:name="_Toc5162"/>
      <w:r>
        <w:rPr>
          <w:rFonts w:hint="eastAsia" w:eastAsia="仿宋_GB2312"/>
          <w:color w:val="auto"/>
          <w:highlight w:val="none"/>
        </w:rPr>
        <w:t>紧紧抓住疏解北京非首都功能</w:t>
      </w:r>
      <w:r>
        <w:rPr>
          <w:rFonts w:hint="eastAsia" w:eastAsia="仿宋_GB2312"/>
          <w:color w:val="auto"/>
          <w:highlight w:val="none"/>
          <w:lang w:eastAsia="zh-CN"/>
        </w:rPr>
        <w:t>“</w:t>
      </w:r>
      <w:r>
        <w:rPr>
          <w:rFonts w:hint="eastAsia" w:eastAsia="仿宋_GB2312"/>
          <w:color w:val="auto"/>
          <w:highlight w:val="none"/>
        </w:rPr>
        <w:t>牛鼻子</w:t>
      </w:r>
      <w:r>
        <w:rPr>
          <w:rFonts w:hint="eastAsia" w:eastAsia="仿宋_GB2312"/>
          <w:color w:val="auto"/>
          <w:highlight w:val="none"/>
          <w:lang w:eastAsia="zh-CN"/>
        </w:rPr>
        <w:t>”</w:t>
      </w:r>
      <w:r>
        <w:rPr>
          <w:rFonts w:hint="eastAsia" w:eastAsia="仿宋_GB2312"/>
          <w:color w:val="auto"/>
          <w:highlight w:val="none"/>
        </w:rPr>
        <w:t>，</w:t>
      </w:r>
      <w:r>
        <w:rPr>
          <w:rFonts w:hint="eastAsia" w:eastAsia="仿宋_GB2312"/>
          <w:color w:val="auto"/>
          <w:highlight w:val="none"/>
          <w:lang w:eastAsia="zh-CN"/>
        </w:rPr>
        <w:t>积极服务对接雄安新区建设，</w:t>
      </w:r>
      <w:r>
        <w:rPr>
          <w:rFonts w:hint="eastAsia" w:eastAsia="仿宋_GB2312"/>
          <w:color w:val="auto"/>
          <w:highlight w:val="none"/>
        </w:rPr>
        <w:t>深度融入</w:t>
      </w:r>
      <w:r>
        <w:rPr>
          <w:rFonts w:hint="eastAsia" w:eastAsia="仿宋_GB2312"/>
          <w:color w:val="auto"/>
          <w:highlight w:val="none"/>
          <w:lang w:eastAsia="zh-CN"/>
        </w:rPr>
        <w:t>“</w:t>
      </w:r>
      <w:r>
        <w:rPr>
          <w:rFonts w:hint="eastAsia" w:eastAsia="仿宋_GB2312"/>
          <w:color w:val="auto"/>
          <w:highlight w:val="none"/>
        </w:rPr>
        <w:t>一带一路</w:t>
      </w:r>
      <w:r>
        <w:rPr>
          <w:rFonts w:hint="eastAsia" w:eastAsia="仿宋_GB2312"/>
          <w:color w:val="auto"/>
          <w:highlight w:val="none"/>
          <w:lang w:eastAsia="zh-CN"/>
        </w:rPr>
        <w:t>”</w:t>
      </w:r>
      <w:r>
        <w:rPr>
          <w:rFonts w:hint="eastAsia" w:eastAsia="仿宋_GB2312"/>
          <w:color w:val="auto"/>
          <w:highlight w:val="none"/>
        </w:rPr>
        <w:t>建设，</w:t>
      </w:r>
      <w:r>
        <w:rPr>
          <w:rFonts w:hint="eastAsia" w:eastAsia="仿宋_GB2312"/>
          <w:color w:val="auto"/>
          <w:highlight w:val="none"/>
          <w:lang w:eastAsia="zh-CN"/>
        </w:rPr>
        <w:t>对标对表沿海先进城市，</w:t>
      </w:r>
      <w:r>
        <w:rPr>
          <w:rFonts w:hint="eastAsia" w:eastAsia="仿宋_GB2312"/>
          <w:color w:val="auto"/>
          <w:highlight w:val="none"/>
        </w:rPr>
        <w:t>全方位扩大对外开放，努力加快国际化秦皇岛建设。</w:t>
      </w:r>
    </w:p>
    <w:p w14:paraId="15586FB9">
      <w:pPr>
        <w:spacing w:line="560" w:lineRule="exact"/>
        <w:ind w:firstLine="640" w:firstLineChars="200"/>
        <w:outlineLvl w:val="2"/>
        <w:rPr>
          <w:b w:val="0"/>
          <w:bCs w:val="0"/>
          <w:color w:val="auto"/>
          <w:highlight w:val="none"/>
        </w:rPr>
      </w:pPr>
      <w:bookmarkStart w:id="382" w:name="_Toc2161"/>
      <w:bookmarkStart w:id="383" w:name="_Toc32036"/>
      <w:r>
        <w:rPr>
          <w:rFonts w:hint="eastAsia"/>
          <w:b w:val="0"/>
          <w:bCs w:val="0"/>
          <w:color w:val="auto"/>
          <w:highlight w:val="none"/>
        </w:rPr>
        <w:t>（一）</w:t>
      </w:r>
      <w:r>
        <w:rPr>
          <w:rFonts w:hint="eastAsia"/>
          <w:b w:val="0"/>
          <w:bCs w:val="0"/>
          <w:color w:val="auto"/>
          <w:highlight w:val="none"/>
          <w:lang w:eastAsia="zh-CN"/>
        </w:rPr>
        <w:t>深度融入国家战略</w:t>
      </w:r>
      <w:bookmarkEnd w:id="381"/>
      <w:bookmarkEnd w:id="382"/>
      <w:bookmarkEnd w:id="383"/>
    </w:p>
    <w:p w14:paraId="28910FDB">
      <w:pPr>
        <w:spacing w:line="560" w:lineRule="exact"/>
        <w:ind w:firstLine="640" w:firstLineChars="200"/>
        <w:outlineLvl w:val="9"/>
        <w:rPr>
          <w:rFonts w:eastAsia="仿宋"/>
          <w:color w:val="auto"/>
          <w:highlight w:val="none"/>
        </w:rPr>
      </w:pPr>
      <w:r>
        <w:rPr>
          <w:rFonts w:hint="eastAsia" w:eastAsia="仿宋_GB2312"/>
          <w:color w:val="auto"/>
          <w:highlight w:val="none"/>
          <w:lang w:eastAsia="zh-CN"/>
        </w:rPr>
        <w:t>深度融入京津冀协同发展。</w:t>
      </w:r>
      <w:r>
        <w:rPr>
          <w:rFonts w:hint="eastAsia" w:eastAsia="仿宋_GB2312"/>
          <w:color w:val="auto"/>
          <w:highlight w:val="none"/>
        </w:rPr>
        <w:t>充分发挥放大京津冀协同发展节点城市、京津</w:t>
      </w:r>
      <w:r>
        <w:rPr>
          <w:rFonts w:eastAsia="仿宋_GB2312"/>
          <w:color w:val="auto"/>
          <w:highlight w:val="none"/>
        </w:rPr>
        <w:t>1</w:t>
      </w:r>
      <w:r>
        <w:rPr>
          <w:rFonts w:hint="eastAsia" w:eastAsia="仿宋_GB2312"/>
          <w:color w:val="auto"/>
          <w:highlight w:val="none"/>
        </w:rPr>
        <w:t>小时交通圈、旅游旺季服务保障、沿海开放等综合优势，抓好秦皇岛开发区（中关村海淀园秦皇岛分园）、北戴河生命健康产业创新示范区、秦皇岛港口转型发展示范区三大重点承接平台建设，提高承接承载能力。强化与北京西城区、海淀区的战略合作关系</w:t>
      </w:r>
      <w:r>
        <w:rPr>
          <w:rFonts w:hint="eastAsia" w:eastAsia="仿宋_GB2312"/>
          <w:color w:val="auto"/>
          <w:highlight w:val="none"/>
          <w:lang w:eastAsia="zh-CN"/>
        </w:rPr>
        <w:t>，</w:t>
      </w:r>
      <w:r>
        <w:rPr>
          <w:rFonts w:hint="eastAsia" w:eastAsia="仿宋_GB2312"/>
          <w:color w:val="auto"/>
          <w:highlight w:val="none"/>
        </w:rPr>
        <w:t>主动承接北京优质教育、医疗、文化、科研等资源疏解，深化与清华大学、天津大学、北京医院、北医三院、中科院等战略性合作，着力打造京津冀医疗健康</w:t>
      </w:r>
      <w:r>
        <w:rPr>
          <w:rFonts w:hint="eastAsia" w:eastAsia="仿宋_GB2312"/>
          <w:color w:val="auto"/>
          <w:highlight w:val="none"/>
          <w:lang w:eastAsia="zh-CN"/>
        </w:rPr>
        <w:t>“</w:t>
      </w:r>
      <w:r>
        <w:rPr>
          <w:rFonts w:hint="eastAsia" w:eastAsia="仿宋_GB2312"/>
          <w:color w:val="auto"/>
          <w:highlight w:val="none"/>
        </w:rPr>
        <w:t>微中心</w:t>
      </w:r>
      <w:r>
        <w:rPr>
          <w:rFonts w:hint="eastAsia" w:eastAsia="仿宋_GB2312"/>
          <w:color w:val="auto"/>
          <w:highlight w:val="none"/>
          <w:lang w:eastAsia="zh-CN"/>
        </w:rPr>
        <w:t>”</w:t>
      </w:r>
      <w:r>
        <w:rPr>
          <w:rFonts w:hint="eastAsia" w:eastAsia="仿宋_GB2312"/>
          <w:color w:val="auto"/>
          <w:highlight w:val="none"/>
        </w:rPr>
        <w:t>和国家区域医疗中心，建设科研成果转化承接基地，让京津优质公共服务资源更多惠及秦皇岛人民。积极对接和服务雄安新区建设。</w:t>
      </w:r>
    </w:p>
    <w:p w14:paraId="69AA3A48">
      <w:pPr>
        <w:spacing w:line="560" w:lineRule="exact"/>
        <w:ind w:firstLine="640" w:firstLineChars="200"/>
        <w:outlineLvl w:val="9"/>
        <w:rPr>
          <w:rFonts w:eastAsia="仿宋_GB2312"/>
          <w:color w:val="auto"/>
          <w:highlight w:val="none"/>
        </w:rPr>
      </w:pPr>
      <w:bookmarkStart w:id="384" w:name="_Toc17813"/>
      <w:bookmarkStart w:id="385" w:name="_Toc20430"/>
      <w:r>
        <w:rPr>
          <w:rFonts w:hint="eastAsia" w:ascii="仿宋" w:hAnsi="仿宋" w:eastAsia="仿宋" w:cs="仿宋"/>
          <w:b w:val="0"/>
          <w:bCs w:val="0"/>
          <w:color w:val="auto"/>
          <w:highlight w:val="none"/>
        </w:rPr>
        <w:t>深度融入</w:t>
      </w:r>
      <w:r>
        <w:rPr>
          <w:rFonts w:hint="eastAsia" w:ascii="仿宋" w:hAnsi="仿宋" w:eastAsia="仿宋" w:cs="仿宋"/>
          <w:b w:val="0"/>
          <w:bCs w:val="0"/>
          <w:color w:val="auto"/>
          <w:highlight w:val="none"/>
          <w:lang w:eastAsia="zh-CN"/>
        </w:rPr>
        <w:t>“</w:t>
      </w:r>
      <w:r>
        <w:rPr>
          <w:rFonts w:hint="eastAsia" w:ascii="仿宋" w:hAnsi="仿宋" w:eastAsia="仿宋" w:cs="仿宋"/>
          <w:b w:val="0"/>
          <w:bCs w:val="0"/>
          <w:color w:val="auto"/>
          <w:highlight w:val="none"/>
        </w:rPr>
        <w:t>一带一路</w:t>
      </w:r>
      <w:r>
        <w:rPr>
          <w:rFonts w:hint="eastAsia" w:ascii="仿宋" w:hAnsi="仿宋" w:eastAsia="仿宋" w:cs="仿宋"/>
          <w:b w:val="0"/>
          <w:bCs w:val="0"/>
          <w:color w:val="auto"/>
          <w:highlight w:val="none"/>
          <w:lang w:eastAsia="zh-CN"/>
        </w:rPr>
        <w:t>”</w:t>
      </w:r>
      <w:r>
        <w:rPr>
          <w:rFonts w:hint="eastAsia" w:ascii="仿宋" w:hAnsi="仿宋" w:eastAsia="仿宋" w:cs="仿宋"/>
          <w:b w:val="0"/>
          <w:bCs w:val="0"/>
          <w:color w:val="auto"/>
          <w:highlight w:val="none"/>
        </w:rPr>
        <w:t>建设</w:t>
      </w:r>
      <w:bookmarkEnd w:id="384"/>
      <w:bookmarkEnd w:id="385"/>
      <w:r>
        <w:rPr>
          <w:rFonts w:hint="eastAsia" w:ascii="仿宋" w:hAnsi="仿宋" w:eastAsia="仿宋" w:cs="仿宋"/>
          <w:b w:val="0"/>
          <w:bCs w:val="0"/>
          <w:color w:val="auto"/>
          <w:highlight w:val="none"/>
          <w:lang w:eastAsia="zh-CN"/>
        </w:rPr>
        <w:t>。</w:t>
      </w:r>
      <w:r>
        <w:rPr>
          <w:rFonts w:hint="eastAsia" w:eastAsia="仿宋_GB2312"/>
          <w:color w:val="auto"/>
          <w:highlight w:val="none"/>
        </w:rPr>
        <w:t>立足建设</w:t>
      </w:r>
      <w:r>
        <w:rPr>
          <w:rFonts w:hint="eastAsia" w:eastAsia="仿宋_GB2312"/>
          <w:color w:val="auto"/>
          <w:highlight w:val="none"/>
          <w:lang w:eastAsia="zh-CN"/>
        </w:rPr>
        <w:t>“</w:t>
      </w:r>
      <w:r>
        <w:rPr>
          <w:rFonts w:hint="eastAsia" w:eastAsia="仿宋_GB2312"/>
          <w:color w:val="auto"/>
          <w:highlight w:val="none"/>
        </w:rPr>
        <w:t>一带一路</w:t>
      </w:r>
      <w:r>
        <w:rPr>
          <w:rFonts w:hint="eastAsia" w:eastAsia="仿宋_GB2312"/>
          <w:color w:val="auto"/>
          <w:highlight w:val="none"/>
          <w:lang w:eastAsia="zh-CN"/>
        </w:rPr>
        <w:t>”</w:t>
      </w:r>
      <w:r>
        <w:rPr>
          <w:rFonts w:hint="eastAsia" w:eastAsia="仿宋_GB2312"/>
          <w:color w:val="auto"/>
          <w:highlight w:val="none"/>
        </w:rPr>
        <w:t>合作先行区，进一步扩大国际合作交流，着力塑造和培育国际休闲旅游、国际交流、国际教育、国际医疗康养、国际贸易口岸等五大品牌，放大提升</w:t>
      </w:r>
      <w:r>
        <w:rPr>
          <w:rFonts w:hint="eastAsia" w:eastAsia="仿宋_GB2312"/>
          <w:color w:val="auto"/>
          <w:highlight w:val="none"/>
          <w:lang w:eastAsia="zh-CN"/>
        </w:rPr>
        <w:t>“</w:t>
      </w:r>
      <w:r>
        <w:rPr>
          <w:rFonts w:hint="eastAsia" w:eastAsia="仿宋_GB2312"/>
          <w:color w:val="auto"/>
          <w:highlight w:val="none"/>
        </w:rPr>
        <w:t>天下第一关</w:t>
      </w:r>
      <w:r>
        <w:rPr>
          <w:rFonts w:hint="eastAsia" w:eastAsia="仿宋_GB2312"/>
          <w:color w:val="auto"/>
          <w:highlight w:val="none"/>
          <w:lang w:eastAsia="zh-CN"/>
        </w:rPr>
        <w:t>”“</w:t>
      </w:r>
      <w:r>
        <w:rPr>
          <w:rFonts w:hint="eastAsia" w:eastAsia="仿宋_GB2312"/>
          <w:color w:val="auto"/>
          <w:highlight w:val="none"/>
        </w:rPr>
        <w:t>北戴河</w:t>
      </w:r>
      <w:r>
        <w:rPr>
          <w:rFonts w:hint="eastAsia" w:eastAsia="仿宋_GB2312"/>
          <w:color w:val="auto"/>
          <w:highlight w:val="none"/>
          <w:lang w:eastAsia="zh-CN"/>
        </w:rPr>
        <w:t>”</w:t>
      </w:r>
      <w:r>
        <w:rPr>
          <w:rFonts w:hint="eastAsia" w:eastAsia="仿宋_GB2312"/>
          <w:color w:val="auto"/>
          <w:highlight w:val="none"/>
        </w:rPr>
        <w:t>国际影响力，加强国际化港口、国际航运、临空经济区建设，提升扩大对外开放的载体和平台。坚持共商共建共享，积极开展与</w:t>
      </w:r>
      <w:r>
        <w:rPr>
          <w:rFonts w:hint="eastAsia" w:eastAsia="仿宋_GB2312"/>
          <w:color w:val="auto"/>
          <w:highlight w:val="none"/>
          <w:lang w:eastAsia="zh-CN"/>
        </w:rPr>
        <w:t>“</w:t>
      </w:r>
      <w:r>
        <w:rPr>
          <w:rFonts w:hint="eastAsia" w:eastAsia="仿宋_GB2312"/>
          <w:color w:val="auto"/>
          <w:highlight w:val="none"/>
        </w:rPr>
        <w:t>一带一路</w:t>
      </w:r>
      <w:r>
        <w:rPr>
          <w:rFonts w:hint="eastAsia" w:eastAsia="仿宋_GB2312"/>
          <w:color w:val="auto"/>
          <w:highlight w:val="none"/>
          <w:lang w:eastAsia="zh-CN"/>
        </w:rPr>
        <w:t>”</w:t>
      </w:r>
      <w:r>
        <w:rPr>
          <w:rFonts w:hint="eastAsia" w:eastAsia="仿宋_GB2312"/>
          <w:color w:val="auto"/>
          <w:highlight w:val="none"/>
        </w:rPr>
        <w:t>沿线国家多边贸易，加快国际市场开拓，推动国际班列和海铁联运建设，开辟和增加国际航线、班轮、班列，畅通人流物流大通道。积极参与沿线国家重大基础设施建设，加快钢铁、建材等优势产能和装备</w:t>
      </w:r>
      <w:r>
        <w:rPr>
          <w:rFonts w:hint="eastAsia" w:eastAsia="仿宋_GB2312"/>
          <w:color w:val="auto"/>
          <w:highlight w:val="none"/>
          <w:lang w:eastAsia="zh-CN"/>
        </w:rPr>
        <w:t>“</w:t>
      </w:r>
      <w:r>
        <w:rPr>
          <w:rFonts w:hint="eastAsia" w:eastAsia="仿宋_GB2312"/>
          <w:color w:val="auto"/>
          <w:highlight w:val="none"/>
        </w:rPr>
        <w:t>走出去</w:t>
      </w:r>
      <w:r>
        <w:rPr>
          <w:rFonts w:hint="eastAsia" w:eastAsia="仿宋_GB2312"/>
          <w:color w:val="auto"/>
          <w:highlight w:val="none"/>
          <w:lang w:eastAsia="zh-CN"/>
        </w:rPr>
        <w:t>”</w:t>
      </w:r>
      <w:r>
        <w:rPr>
          <w:rFonts w:hint="eastAsia" w:eastAsia="仿宋_GB2312"/>
          <w:color w:val="auto"/>
          <w:highlight w:val="none"/>
        </w:rPr>
        <w:t>。加强国际产能合作，支持优势企业在海外建设一批境外生产基地，建立境外售后维修服务中心、备件生产基地等售后服务保障支撑体系，开展技术工程总承包等服务，打造全省</w:t>
      </w:r>
      <w:r>
        <w:rPr>
          <w:rFonts w:hint="eastAsia" w:eastAsia="仿宋_GB2312"/>
          <w:color w:val="auto"/>
          <w:highlight w:val="none"/>
          <w:lang w:eastAsia="zh-CN"/>
        </w:rPr>
        <w:t>“</w:t>
      </w:r>
      <w:r>
        <w:rPr>
          <w:rFonts w:hint="eastAsia" w:eastAsia="仿宋_GB2312"/>
          <w:color w:val="auto"/>
          <w:highlight w:val="none"/>
        </w:rPr>
        <w:t>走出去</w:t>
      </w:r>
      <w:r>
        <w:rPr>
          <w:rFonts w:hint="eastAsia" w:eastAsia="仿宋_GB2312"/>
          <w:color w:val="auto"/>
          <w:highlight w:val="none"/>
          <w:lang w:eastAsia="zh-CN"/>
        </w:rPr>
        <w:t>”</w:t>
      </w:r>
      <w:r>
        <w:rPr>
          <w:rFonts w:hint="eastAsia" w:eastAsia="仿宋_GB2312"/>
          <w:color w:val="auto"/>
          <w:highlight w:val="none"/>
        </w:rPr>
        <w:t>标杆企业。</w:t>
      </w:r>
    </w:p>
    <w:p w14:paraId="0A3FF40B">
      <w:pPr>
        <w:spacing w:line="560" w:lineRule="exact"/>
        <w:ind w:firstLine="640" w:firstLineChars="200"/>
        <w:outlineLvl w:val="2"/>
        <w:rPr>
          <w:b w:val="0"/>
          <w:bCs w:val="0"/>
          <w:color w:val="auto"/>
          <w:highlight w:val="none"/>
        </w:rPr>
      </w:pPr>
      <w:bookmarkStart w:id="386" w:name="_Toc26133"/>
      <w:bookmarkStart w:id="387" w:name="_Toc8580"/>
      <w:bookmarkStart w:id="388" w:name="_Toc15693"/>
      <w:r>
        <w:rPr>
          <w:rFonts w:hint="eastAsia"/>
          <w:b w:val="0"/>
          <w:bCs w:val="0"/>
          <w:color w:val="auto"/>
          <w:highlight w:val="none"/>
        </w:rPr>
        <w:t>（</w:t>
      </w:r>
      <w:r>
        <w:rPr>
          <w:rFonts w:hint="eastAsia"/>
          <w:b w:val="0"/>
          <w:bCs w:val="0"/>
          <w:color w:val="auto"/>
          <w:highlight w:val="none"/>
          <w:lang w:eastAsia="zh-CN"/>
        </w:rPr>
        <w:t>二</w:t>
      </w:r>
      <w:r>
        <w:rPr>
          <w:rFonts w:hint="eastAsia"/>
          <w:b w:val="0"/>
          <w:bCs w:val="0"/>
          <w:color w:val="auto"/>
          <w:highlight w:val="none"/>
        </w:rPr>
        <w:t>）</w:t>
      </w:r>
      <w:r>
        <w:rPr>
          <w:rFonts w:hint="eastAsia"/>
          <w:b w:val="0"/>
          <w:bCs w:val="0"/>
          <w:color w:val="auto"/>
          <w:highlight w:val="none"/>
          <w:lang w:eastAsia="zh-CN"/>
        </w:rPr>
        <w:t>有序推动港口转型升级发展</w:t>
      </w:r>
      <w:bookmarkEnd w:id="386"/>
    </w:p>
    <w:p w14:paraId="6DF530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color w:val="auto"/>
          <w:highlight w:val="none"/>
        </w:rPr>
      </w:pPr>
      <w:r>
        <w:rPr>
          <w:rFonts w:hint="eastAsia" w:eastAsia="仿宋_GB2312"/>
          <w:color w:val="auto"/>
          <w:highlight w:val="none"/>
        </w:rPr>
        <w:t>坚持以城定港、港产城融合，优化港口功能布局，实施港口转型升级工程，加快建设一流国际旅游港和现代综合贸易港。</w:t>
      </w:r>
      <w:r>
        <w:rPr>
          <w:rFonts w:hint="eastAsia" w:eastAsia="仿宋_GB2312"/>
          <w:color w:val="auto"/>
          <w:highlight w:val="none"/>
          <w:lang w:eastAsia="zh-CN"/>
        </w:rPr>
        <w:t>加快推进西港区改造开发，</w:t>
      </w:r>
      <w:r>
        <w:rPr>
          <w:rFonts w:hint="eastAsia" w:eastAsia="仿宋_GB2312"/>
          <w:color w:val="auto"/>
          <w:highlight w:val="none"/>
        </w:rPr>
        <w:t>发展高端服务业、战略性新兴产业，推动一流国际旅游城市中央功能区建设。积极发展集装箱综合中转业务、跨境大宗商品进出口综合贸易、本地大宗散货业务等转型支柱产业，打造国家粮食集疏运重要港口，谋划建设跨境电子商务综合试验区，打造绿色生态、智慧型港口，建设环渤海重要保税港区。拓展港口辐射腹地，积极发展国际海铁联运集装箱班列业务，推动公铁水空联运无缝衔接，提升秦皇岛港服务</w:t>
      </w:r>
      <w:r>
        <w:rPr>
          <w:rFonts w:hint="eastAsia" w:eastAsia="仿宋_GB2312"/>
          <w:color w:val="auto"/>
          <w:highlight w:val="none"/>
          <w:lang w:eastAsia="zh-CN"/>
        </w:rPr>
        <w:t>“</w:t>
      </w:r>
      <w:r>
        <w:rPr>
          <w:rFonts w:hint="eastAsia" w:eastAsia="仿宋_GB2312"/>
          <w:color w:val="auto"/>
          <w:highlight w:val="none"/>
        </w:rPr>
        <w:t>一带一路</w:t>
      </w:r>
      <w:r>
        <w:rPr>
          <w:rFonts w:hint="eastAsia" w:eastAsia="仿宋_GB2312"/>
          <w:color w:val="auto"/>
          <w:highlight w:val="none"/>
          <w:lang w:eastAsia="zh-CN"/>
        </w:rPr>
        <w:t>”</w:t>
      </w:r>
      <w:r>
        <w:rPr>
          <w:rFonts w:hint="eastAsia" w:eastAsia="仿宋_GB2312"/>
          <w:color w:val="auto"/>
          <w:highlight w:val="none"/>
        </w:rPr>
        <w:t>及内陆更深远腹地的能力。</w:t>
      </w:r>
    </w:p>
    <w:p w14:paraId="5A22A49D">
      <w:pPr>
        <w:pStyle w:val="2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outlineLvl w:val="2"/>
        <w:rPr>
          <w:rFonts w:hint="eastAsia" w:ascii="Times New Roman" w:hAnsi="Times New Roman" w:eastAsia="楷体_GB2312" w:cs="Times New Roman"/>
          <w:b w:val="0"/>
          <w:bCs w:val="0"/>
          <w:color w:val="auto"/>
          <w:kern w:val="2"/>
          <w:sz w:val="32"/>
          <w:szCs w:val="32"/>
          <w:highlight w:val="none"/>
          <w:lang w:val="en-US" w:eastAsia="zh-CN" w:bidi="ar-SA"/>
        </w:rPr>
      </w:pPr>
      <w:bookmarkStart w:id="389" w:name="_Toc12107"/>
      <w:r>
        <w:rPr>
          <w:rFonts w:hint="eastAsia" w:cs="Times New Roman"/>
          <w:b w:val="0"/>
          <w:bCs w:val="0"/>
          <w:color w:val="auto"/>
          <w:kern w:val="2"/>
          <w:sz w:val="32"/>
          <w:szCs w:val="32"/>
          <w:highlight w:val="none"/>
          <w:lang w:val="en-US" w:eastAsia="zh-CN" w:bidi="ar-SA"/>
        </w:rPr>
        <w:t>（三）</w:t>
      </w:r>
      <w:r>
        <w:rPr>
          <w:rFonts w:hint="eastAsia" w:ascii="Times New Roman" w:hAnsi="Times New Roman" w:eastAsia="楷体_GB2312" w:cs="Times New Roman"/>
          <w:b w:val="0"/>
          <w:bCs w:val="0"/>
          <w:color w:val="auto"/>
          <w:kern w:val="2"/>
          <w:sz w:val="32"/>
          <w:szCs w:val="32"/>
          <w:highlight w:val="none"/>
          <w:lang w:val="en-US" w:eastAsia="zh-CN" w:bidi="ar-SA"/>
        </w:rPr>
        <w:t>加快北戴河生命</w:t>
      </w:r>
      <w:r>
        <w:rPr>
          <w:rFonts w:hint="eastAsia" w:cs="Times New Roman"/>
          <w:b w:val="0"/>
          <w:bCs w:val="0"/>
          <w:color w:val="auto"/>
          <w:kern w:val="2"/>
          <w:sz w:val="32"/>
          <w:szCs w:val="32"/>
          <w:highlight w:val="none"/>
          <w:lang w:val="en-US" w:eastAsia="zh-CN" w:bidi="ar-SA"/>
        </w:rPr>
        <w:t>健康产业</w:t>
      </w:r>
      <w:r>
        <w:rPr>
          <w:rFonts w:hint="eastAsia" w:ascii="Times New Roman" w:hAnsi="Times New Roman" w:eastAsia="楷体_GB2312" w:cs="Times New Roman"/>
          <w:b w:val="0"/>
          <w:bCs w:val="0"/>
          <w:color w:val="auto"/>
          <w:kern w:val="2"/>
          <w:sz w:val="32"/>
          <w:szCs w:val="32"/>
          <w:highlight w:val="none"/>
          <w:lang w:val="en-US" w:eastAsia="zh-CN" w:bidi="ar-SA"/>
        </w:rPr>
        <w:t>创新示范区发展</w:t>
      </w:r>
      <w:bookmarkEnd w:id="389"/>
    </w:p>
    <w:p w14:paraId="6D97C5B8">
      <w:pPr>
        <w:pStyle w:val="2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outlineLvl w:val="9"/>
        <w:rPr>
          <w:rFonts w:hint="eastAsia" w:eastAsia="仿宋_GB2312"/>
          <w:color w:val="auto"/>
          <w:highlight w:val="none"/>
          <w:lang w:eastAsia="zh-CN"/>
        </w:rPr>
      </w:pPr>
      <w:r>
        <w:rPr>
          <w:rFonts w:hint="eastAsia" w:eastAsia="仿宋_GB2312"/>
          <w:color w:val="auto"/>
          <w:highlight w:val="none"/>
          <w:lang w:eastAsia="zh-CN"/>
        </w:rPr>
        <w:t>加快</w:t>
      </w:r>
      <w:r>
        <w:rPr>
          <w:rFonts w:hint="eastAsia" w:eastAsia="仿宋_GB2312"/>
          <w:color w:val="auto"/>
          <w:highlight w:val="none"/>
          <w:lang w:val="en-US" w:eastAsia="zh-CN"/>
        </w:rPr>
        <w:t>北戴河生命健康产业创新示范区核心区建设，完善基础设施和公共服务设施，提升承载能力。</w:t>
      </w:r>
      <w:r>
        <w:rPr>
          <w:rFonts w:hint="eastAsia" w:eastAsia="仿宋_GB2312"/>
          <w:color w:val="auto"/>
          <w:highlight w:val="none"/>
          <w:lang w:eastAsia="zh-CN"/>
        </w:rPr>
        <w:t>深化</w:t>
      </w:r>
      <w:r>
        <w:rPr>
          <w:rFonts w:hint="eastAsia" w:eastAsia="仿宋_GB2312"/>
          <w:color w:val="auto"/>
          <w:highlight w:val="none"/>
          <w:lang w:val="en-US" w:eastAsia="zh-CN"/>
        </w:rPr>
        <w:t>示范区改革试点，对照博鳌乐城国际医疗旅游先行区政策，积极争取国外新药、新器械、新医疗技术在示范区与海南同步应用。</w:t>
      </w:r>
      <w:r>
        <w:rPr>
          <w:rFonts w:hint="eastAsia" w:eastAsia="仿宋_GB2312"/>
          <w:color w:val="auto"/>
          <w:highlight w:val="none"/>
        </w:rPr>
        <w:t>加快高端医疗机构建设，围绕肿瘤、心血管、细胞治疗及临床转化等重点领域，积极引进国际国内一流医院，加快北戴河心脑血管病医院、北医三院秦皇岛医院建设，推进与北京大学肿瘤医院合作共建北戴河肿瘤医院和癌症筛查中心，推进石药集团干细胞药物研发基地建设，推进细胞制备中心、细胞检测中心及临床治疗中心建设。推动河北医科大学临床学院转设</w:t>
      </w:r>
      <w:r>
        <w:rPr>
          <w:rFonts w:hint="eastAsia" w:eastAsia="仿宋_GB2312"/>
          <w:color w:val="auto"/>
          <w:highlight w:val="none"/>
          <w:lang w:eastAsia="zh-CN"/>
        </w:rPr>
        <w:t>至秦皇岛</w:t>
      </w:r>
      <w:r>
        <w:rPr>
          <w:rFonts w:hint="eastAsia" w:eastAsia="仿宋_GB2312"/>
          <w:color w:val="auto"/>
          <w:highlight w:val="none"/>
        </w:rPr>
        <w:t>，建设国内外有影响力的国家区域医疗中心、国家老年医学中心。</w:t>
      </w:r>
    </w:p>
    <w:p w14:paraId="7F16EFDE">
      <w:pPr>
        <w:spacing w:line="560" w:lineRule="exact"/>
        <w:ind w:firstLine="640" w:firstLineChars="200"/>
        <w:outlineLvl w:val="2"/>
        <w:rPr>
          <w:rFonts w:hint="eastAsia" w:ascii="楷体" w:hAnsi="楷体" w:eastAsia="楷体" w:cs="楷体"/>
          <w:color w:val="auto"/>
          <w:highlight w:val="none"/>
          <w:lang w:eastAsia="zh-CN"/>
        </w:rPr>
      </w:pPr>
      <w:bookmarkStart w:id="390" w:name="_Toc17850"/>
      <w:r>
        <w:rPr>
          <w:rFonts w:hint="eastAsia" w:ascii="楷体" w:hAnsi="楷体" w:eastAsia="楷体" w:cs="楷体"/>
          <w:color w:val="auto"/>
          <w:highlight w:val="none"/>
          <w:lang w:eastAsia="zh-CN"/>
        </w:rPr>
        <w:t>（四）大力发展临港临海经济</w:t>
      </w:r>
      <w:bookmarkEnd w:id="390"/>
    </w:p>
    <w:p w14:paraId="74F3B987">
      <w:pPr>
        <w:spacing w:line="560" w:lineRule="exact"/>
        <w:ind w:firstLine="640" w:firstLineChars="200"/>
        <w:rPr>
          <w:color w:val="auto"/>
          <w:highlight w:val="none"/>
        </w:rPr>
      </w:pPr>
      <w:r>
        <w:rPr>
          <w:rFonts w:hint="eastAsia" w:eastAsia="仿宋_GB2312"/>
          <w:color w:val="auto"/>
          <w:highlight w:val="none"/>
        </w:rPr>
        <w:t>积极发展新兴海洋产业，</w:t>
      </w:r>
      <w:r>
        <w:rPr>
          <w:rFonts w:hint="eastAsia" w:eastAsia="仿宋_GB2312"/>
          <w:color w:val="auto"/>
          <w:highlight w:val="none"/>
          <w:lang w:eastAsia="zh-CN"/>
        </w:rPr>
        <w:t>聚焦海洋交通运输、海洋高端装备制造、</w:t>
      </w:r>
      <w:r>
        <w:rPr>
          <w:rFonts w:hint="eastAsia" w:eastAsia="仿宋_GB2312"/>
          <w:color w:val="auto"/>
          <w:highlight w:val="none"/>
        </w:rPr>
        <w:t>海洋文化旅游、</w:t>
      </w:r>
      <w:r>
        <w:rPr>
          <w:rFonts w:hint="eastAsia" w:eastAsia="仿宋_GB2312"/>
          <w:color w:val="auto"/>
          <w:highlight w:val="none"/>
          <w:lang w:eastAsia="zh-CN"/>
        </w:rPr>
        <w:t>海洋养殖、海洋生物医药、海洋科研、智慧海洋等领域，推进涉海创新链、产业链、供应链协同发展，建设一批海洋经济领域科技创新公共服务平台、培育一批海洋经济龙头企业，</w:t>
      </w:r>
      <w:r>
        <w:rPr>
          <w:rFonts w:hint="eastAsia" w:eastAsia="仿宋_GB2312"/>
          <w:color w:val="auto"/>
          <w:highlight w:val="none"/>
        </w:rPr>
        <w:t>着力建设带动力强的海洋优势产业集群，</w:t>
      </w:r>
      <w:r>
        <w:rPr>
          <w:rFonts w:hint="eastAsia" w:eastAsia="仿宋_GB2312"/>
          <w:color w:val="auto"/>
          <w:highlight w:val="none"/>
          <w:lang w:eastAsia="zh-CN"/>
        </w:rPr>
        <w:t>打造</w:t>
      </w:r>
      <w:r>
        <w:rPr>
          <w:rFonts w:hint="eastAsia" w:eastAsia="仿宋_GB2312"/>
          <w:color w:val="auto"/>
          <w:highlight w:val="none"/>
        </w:rPr>
        <w:t>全国现代海洋产业基地</w:t>
      </w:r>
      <w:r>
        <w:rPr>
          <w:rFonts w:hint="eastAsia" w:eastAsia="仿宋_GB2312"/>
          <w:color w:val="auto"/>
          <w:highlight w:val="none"/>
          <w:lang w:eastAsia="zh-CN"/>
        </w:rPr>
        <w:t>。</w:t>
      </w:r>
      <w:r>
        <w:rPr>
          <w:rFonts w:hint="eastAsia" w:eastAsia="仿宋_GB2312"/>
          <w:color w:val="auto"/>
          <w:highlight w:val="none"/>
        </w:rPr>
        <w:t>完善口岸服务功能，提升口岸开放水平。全力推进北戴河机场航空口岸正式对外开放。</w:t>
      </w:r>
      <w:r>
        <w:rPr>
          <w:rFonts w:hint="eastAsia" w:eastAsia="仿宋_GB2312"/>
          <w:color w:val="auto"/>
          <w:highlight w:val="none"/>
          <w:lang w:eastAsia="zh-CN"/>
        </w:rPr>
        <w:t>加快推进</w:t>
      </w:r>
      <w:r>
        <w:rPr>
          <w:rFonts w:hint="eastAsia" w:eastAsia="仿宋_GB2312"/>
          <w:color w:val="auto"/>
          <w:highlight w:val="none"/>
        </w:rPr>
        <w:t>秦皇岛综合保税区建设，支持发展现代物流、跨境电子商务、服务外包、检测维修、保税租赁、国际中转、配送、采购、转口贸易等保税服务，打造成我市对外开放新高地</w:t>
      </w:r>
      <w:r>
        <w:rPr>
          <w:rFonts w:hint="eastAsia" w:eastAsia="仿宋_GB2312"/>
          <w:color w:val="auto"/>
          <w:highlight w:val="none"/>
          <w:lang w:eastAsia="zh-CN"/>
        </w:rPr>
        <w:t>，</w:t>
      </w:r>
      <w:r>
        <w:rPr>
          <w:rFonts w:hint="eastAsia" w:eastAsia="仿宋_GB2312"/>
          <w:color w:val="auto"/>
          <w:highlight w:val="none"/>
        </w:rPr>
        <w:t>全市经济发展的新引擎。支持综合保税区与开发区</w:t>
      </w:r>
      <w:r>
        <w:rPr>
          <w:rFonts w:hint="eastAsia" w:eastAsia="仿宋_GB2312"/>
          <w:color w:val="auto"/>
          <w:highlight w:val="none"/>
          <w:lang w:eastAsia="zh-CN"/>
        </w:rPr>
        <w:t>、港口</w:t>
      </w:r>
      <w:r>
        <w:rPr>
          <w:rFonts w:hint="eastAsia" w:eastAsia="仿宋_GB2312"/>
          <w:color w:val="auto"/>
          <w:highlight w:val="none"/>
        </w:rPr>
        <w:t>联动发展，复制推广自由贸易试验区成果。</w:t>
      </w:r>
    </w:p>
    <w:p w14:paraId="22AD8655">
      <w:pPr>
        <w:keepNext w:val="0"/>
        <w:keepLines w:val="0"/>
        <w:pageBreakBefore w:val="0"/>
        <w:widowControl w:val="0"/>
        <w:kinsoku/>
        <w:wordWrap/>
        <w:overflowPunct/>
        <w:topLinePunct w:val="0"/>
        <w:autoSpaceDE/>
        <w:autoSpaceDN/>
        <w:bidi w:val="0"/>
        <w:adjustRightInd/>
        <w:snapToGrid/>
        <w:spacing w:line="560" w:lineRule="exact"/>
        <w:ind w:firstLine="640" w:firstLineChars="200"/>
        <w:outlineLvl w:val="2"/>
        <w:rPr>
          <w:b w:val="0"/>
          <w:bCs w:val="0"/>
          <w:color w:val="auto"/>
          <w:highlight w:val="none"/>
        </w:rPr>
      </w:pPr>
      <w:bookmarkStart w:id="391" w:name="_Toc29095"/>
      <w:r>
        <w:rPr>
          <w:rFonts w:hint="eastAsia"/>
          <w:b w:val="0"/>
          <w:bCs w:val="0"/>
          <w:color w:val="auto"/>
          <w:highlight w:val="none"/>
        </w:rPr>
        <w:t>（</w:t>
      </w:r>
      <w:r>
        <w:rPr>
          <w:rFonts w:hint="eastAsia"/>
          <w:b w:val="0"/>
          <w:bCs w:val="0"/>
          <w:color w:val="auto"/>
          <w:highlight w:val="none"/>
          <w:lang w:eastAsia="zh-CN"/>
        </w:rPr>
        <w:t>五</w:t>
      </w:r>
      <w:r>
        <w:rPr>
          <w:rFonts w:hint="eastAsia"/>
          <w:b w:val="0"/>
          <w:bCs w:val="0"/>
          <w:color w:val="auto"/>
          <w:highlight w:val="none"/>
        </w:rPr>
        <w:t>）进一步强化精准招商</w:t>
      </w:r>
      <w:bookmarkEnd w:id="391"/>
    </w:p>
    <w:bookmarkEnd w:id="387"/>
    <w:bookmarkEnd w:id="388"/>
    <w:p w14:paraId="7B58D5F9">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eastAsia="仿宋_GB2312"/>
          <w:color w:val="auto"/>
          <w:highlight w:val="none"/>
        </w:rPr>
      </w:pPr>
      <w:r>
        <w:rPr>
          <w:rFonts w:hint="eastAsia" w:eastAsia="仿宋_GB2312"/>
          <w:color w:val="auto"/>
          <w:highlight w:val="none"/>
        </w:rPr>
        <w:t>持续优化招商机制，持续做好驻点招商，开展委托顾问招商、以商招商、亲情招商、主题推介招商和市场化专业招商，开展百家商会会长走进秦皇岛等系列招商活动，面向知名国企、民企、外企和相关科研机构，举办秦皇岛投资环境说明会。选优配强招商队伍，充分发挥和利用好各类社会团体组织在招商引资重点领域牵线搭桥作用，围绕强链、延链、补链开展精准招商。创新招商方式，建立招商引资项目预评估、签约项目跟踪落地和动态管理机制，严格考核奖惩，构建办好大活动、联系大企业、引进大项目、落地大见效的招商引资新体系。聚焦国际国内</w:t>
      </w:r>
      <w:r>
        <w:rPr>
          <w:rFonts w:eastAsia="仿宋_GB2312"/>
          <w:color w:val="auto"/>
          <w:highlight w:val="none"/>
        </w:rPr>
        <w:t>500</w:t>
      </w:r>
      <w:r>
        <w:rPr>
          <w:rFonts w:hint="eastAsia" w:eastAsia="仿宋_GB2312"/>
          <w:color w:val="auto"/>
          <w:highlight w:val="none"/>
        </w:rPr>
        <w:t>强和行业领军企业、隐形冠军企业，聚焦长三角、珠三角、京津等优势区域，聚焦生命健康、高端制造、现代物流、数字经济等重点产业，谋划盯引一批产业链引擎性项目。</w:t>
      </w:r>
    </w:p>
    <w:p w14:paraId="232154F4">
      <w:pPr>
        <w:spacing w:line="560" w:lineRule="exact"/>
        <w:ind w:firstLine="646"/>
        <w:outlineLvl w:val="1"/>
        <w:rPr>
          <w:rFonts w:eastAsia="黑体"/>
          <w:color w:val="auto"/>
          <w:highlight w:val="none"/>
        </w:rPr>
      </w:pPr>
      <w:bookmarkStart w:id="392" w:name="_Toc8077"/>
      <w:bookmarkStart w:id="393" w:name="_Toc11856"/>
      <w:bookmarkStart w:id="394" w:name="_Toc4070"/>
      <w:r>
        <w:rPr>
          <w:rFonts w:hint="eastAsia" w:eastAsia="黑体"/>
          <w:color w:val="auto"/>
          <w:highlight w:val="none"/>
          <w:lang w:eastAsia="zh-CN"/>
        </w:rPr>
        <w:t>三</w:t>
      </w:r>
      <w:r>
        <w:rPr>
          <w:rFonts w:hint="eastAsia" w:eastAsia="黑体"/>
          <w:color w:val="auto"/>
          <w:highlight w:val="none"/>
        </w:rPr>
        <w:t>、创建国内一流营商环境</w:t>
      </w:r>
      <w:bookmarkEnd w:id="392"/>
      <w:bookmarkEnd w:id="393"/>
      <w:bookmarkEnd w:id="394"/>
    </w:p>
    <w:p w14:paraId="0264826B">
      <w:pPr>
        <w:spacing w:line="560" w:lineRule="exact"/>
        <w:ind w:firstLine="640" w:firstLineChars="200"/>
        <w:rPr>
          <w:rFonts w:eastAsia="仿宋_GB2312"/>
          <w:color w:val="auto"/>
          <w:highlight w:val="none"/>
        </w:rPr>
      </w:pPr>
      <w:bookmarkStart w:id="395" w:name="_Toc12733"/>
      <w:r>
        <w:rPr>
          <w:rFonts w:hint="eastAsia" w:eastAsia="仿宋_GB2312"/>
          <w:color w:val="auto"/>
          <w:highlight w:val="none"/>
        </w:rPr>
        <w:t>以市场主体需求为导向，创新体制机制，最大限度减少政府对市场资源的直接配置，最大限度减少政府对市场活动的直接干预，降低制度性交易成本，提高政务服务能力和水平，高标准打造市场化、</w:t>
      </w:r>
      <w:r>
        <w:rPr>
          <w:rFonts w:hint="eastAsia" w:eastAsia="仿宋_GB2312"/>
          <w:color w:val="auto"/>
          <w:highlight w:val="none"/>
          <w:lang w:eastAsia="zh-CN"/>
        </w:rPr>
        <w:t>法治化</w:t>
      </w:r>
      <w:r>
        <w:rPr>
          <w:rFonts w:hint="eastAsia" w:eastAsia="仿宋_GB2312"/>
          <w:color w:val="auto"/>
          <w:highlight w:val="none"/>
        </w:rPr>
        <w:t>、国际化营商环境。</w:t>
      </w:r>
    </w:p>
    <w:p w14:paraId="78185794">
      <w:pPr>
        <w:spacing w:line="560" w:lineRule="exact"/>
        <w:ind w:firstLine="640" w:firstLineChars="200"/>
        <w:outlineLvl w:val="2"/>
        <w:rPr>
          <w:b w:val="0"/>
          <w:bCs w:val="0"/>
          <w:color w:val="auto"/>
          <w:highlight w:val="none"/>
        </w:rPr>
      </w:pPr>
      <w:bookmarkStart w:id="396" w:name="_Toc30103"/>
      <w:bookmarkStart w:id="397" w:name="_Toc16387"/>
      <w:r>
        <w:rPr>
          <w:rFonts w:hint="eastAsia"/>
          <w:b w:val="0"/>
          <w:bCs w:val="0"/>
          <w:color w:val="auto"/>
          <w:highlight w:val="none"/>
        </w:rPr>
        <w:t>（一）</w:t>
      </w:r>
      <w:bookmarkEnd w:id="395"/>
      <w:bookmarkEnd w:id="396"/>
      <w:r>
        <w:rPr>
          <w:rFonts w:hint="eastAsia"/>
          <w:b w:val="0"/>
          <w:bCs w:val="0"/>
          <w:color w:val="auto"/>
          <w:highlight w:val="none"/>
        </w:rPr>
        <w:t>持续深化</w:t>
      </w:r>
      <w:r>
        <w:rPr>
          <w:rFonts w:hint="eastAsia"/>
          <w:b w:val="0"/>
          <w:bCs w:val="0"/>
          <w:color w:val="auto"/>
          <w:highlight w:val="none"/>
          <w:lang w:eastAsia="zh-CN"/>
        </w:rPr>
        <w:t>“</w:t>
      </w:r>
      <w:r>
        <w:rPr>
          <w:rFonts w:hint="eastAsia"/>
          <w:b w:val="0"/>
          <w:bCs w:val="0"/>
          <w:color w:val="auto"/>
          <w:highlight w:val="none"/>
        </w:rPr>
        <w:t>放管服</w:t>
      </w:r>
      <w:r>
        <w:rPr>
          <w:rFonts w:hint="eastAsia"/>
          <w:b w:val="0"/>
          <w:bCs w:val="0"/>
          <w:color w:val="auto"/>
          <w:highlight w:val="none"/>
          <w:lang w:eastAsia="zh-CN"/>
        </w:rPr>
        <w:t>”</w:t>
      </w:r>
      <w:r>
        <w:rPr>
          <w:rFonts w:hint="eastAsia"/>
          <w:b w:val="0"/>
          <w:bCs w:val="0"/>
          <w:color w:val="auto"/>
          <w:highlight w:val="none"/>
        </w:rPr>
        <w:t>改革</w:t>
      </w:r>
      <w:bookmarkEnd w:id="397"/>
    </w:p>
    <w:p w14:paraId="4D71FF23">
      <w:pPr>
        <w:spacing w:line="560" w:lineRule="exact"/>
        <w:ind w:firstLine="640" w:firstLineChars="200"/>
        <w:rPr>
          <w:rFonts w:eastAsia="仿宋"/>
          <w:color w:val="auto"/>
          <w:highlight w:val="none"/>
        </w:rPr>
      </w:pPr>
      <w:r>
        <w:rPr>
          <w:rFonts w:hint="eastAsia" w:eastAsia="仿宋_GB2312"/>
          <w:color w:val="auto"/>
          <w:highlight w:val="none"/>
        </w:rPr>
        <w:t>承接好省级管理权限下放内容和方式，进一步简政放权、放管结合、优化服务，精简各类重复审批，切实减少对微观经济活动的干预。推进企业和个人全生命周期服务体系建设，实施涉企经营许可事项目录清单管理和告知承诺制，推行</w:t>
      </w:r>
      <w:r>
        <w:rPr>
          <w:rFonts w:hint="eastAsia" w:eastAsia="仿宋_GB2312"/>
          <w:color w:val="auto"/>
          <w:highlight w:val="none"/>
          <w:lang w:eastAsia="zh-CN"/>
        </w:rPr>
        <w:t>“</w:t>
      </w:r>
      <w:r>
        <w:rPr>
          <w:rFonts w:hint="eastAsia" w:eastAsia="仿宋_GB2312"/>
          <w:color w:val="auto"/>
          <w:highlight w:val="none"/>
        </w:rPr>
        <w:t>函证结合</w:t>
      </w:r>
      <w:r>
        <w:rPr>
          <w:rFonts w:hint="eastAsia" w:eastAsia="仿宋_GB2312"/>
          <w:color w:val="auto"/>
          <w:highlight w:val="none"/>
          <w:lang w:eastAsia="zh-CN"/>
        </w:rPr>
        <w:t>”“</w:t>
      </w:r>
      <w:r>
        <w:rPr>
          <w:rFonts w:hint="eastAsia" w:eastAsia="仿宋_GB2312"/>
          <w:color w:val="auto"/>
          <w:highlight w:val="none"/>
        </w:rPr>
        <w:t>容缺后补</w:t>
      </w:r>
      <w:r>
        <w:rPr>
          <w:rFonts w:hint="eastAsia" w:eastAsia="仿宋_GB2312"/>
          <w:color w:val="auto"/>
          <w:highlight w:val="none"/>
          <w:lang w:eastAsia="zh-CN"/>
        </w:rPr>
        <w:t>”</w:t>
      </w:r>
      <w:r>
        <w:rPr>
          <w:rFonts w:hint="eastAsia" w:eastAsia="仿宋_GB2312"/>
          <w:color w:val="auto"/>
          <w:highlight w:val="none"/>
        </w:rPr>
        <w:t>等改革，推广</w:t>
      </w:r>
      <w:r>
        <w:rPr>
          <w:rFonts w:hint="eastAsia" w:eastAsia="仿宋_GB2312"/>
          <w:color w:val="auto"/>
          <w:highlight w:val="none"/>
          <w:lang w:eastAsia="zh-CN"/>
        </w:rPr>
        <w:t>“</w:t>
      </w:r>
      <w:r>
        <w:rPr>
          <w:rFonts w:hint="eastAsia" w:eastAsia="仿宋_GB2312"/>
          <w:color w:val="auto"/>
          <w:highlight w:val="none"/>
        </w:rPr>
        <w:t>最多跑一次</w:t>
      </w:r>
      <w:r>
        <w:rPr>
          <w:rFonts w:hint="eastAsia" w:eastAsia="仿宋_GB2312"/>
          <w:color w:val="auto"/>
          <w:highlight w:val="none"/>
          <w:lang w:eastAsia="zh-CN"/>
        </w:rPr>
        <w:t>”</w:t>
      </w:r>
      <w:r>
        <w:rPr>
          <w:rFonts w:hint="eastAsia" w:eastAsia="仿宋_GB2312"/>
          <w:color w:val="auto"/>
          <w:highlight w:val="none"/>
        </w:rPr>
        <w:t>。深化商事制度改革，扎实开展</w:t>
      </w:r>
      <w:r>
        <w:rPr>
          <w:rFonts w:hint="eastAsia" w:eastAsia="仿宋_GB2312"/>
          <w:color w:val="auto"/>
          <w:highlight w:val="none"/>
          <w:lang w:eastAsia="zh-CN"/>
        </w:rPr>
        <w:t>“</w:t>
      </w:r>
      <w:r>
        <w:rPr>
          <w:rFonts w:hint="eastAsia" w:eastAsia="仿宋_GB2312"/>
          <w:color w:val="auto"/>
          <w:highlight w:val="none"/>
        </w:rPr>
        <w:t>减证便民</w:t>
      </w:r>
      <w:r>
        <w:rPr>
          <w:rFonts w:hint="eastAsia" w:eastAsia="仿宋_GB2312"/>
          <w:color w:val="auto"/>
          <w:highlight w:val="none"/>
          <w:lang w:eastAsia="zh-CN"/>
        </w:rPr>
        <w:t>”</w:t>
      </w:r>
      <w:r>
        <w:rPr>
          <w:rFonts w:hint="eastAsia" w:eastAsia="仿宋_GB2312"/>
          <w:color w:val="auto"/>
          <w:highlight w:val="none"/>
        </w:rPr>
        <w:t>，推行证明事项告知承诺制，推动企业开办</w:t>
      </w:r>
      <w:r>
        <w:rPr>
          <w:rFonts w:hint="eastAsia" w:eastAsia="仿宋_GB2312"/>
          <w:color w:val="auto"/>
          <w:highlight w:val="none"/>
          <w:lang w:eastAsia="zh-CN"/>
        </w:rPr>
        <w:t>“</w:t>
      </w:r>
      <w:r>
        <w:rPr>
          <w:rFonts w:hint="eastAsia" w:eastAsia="仿宋_GB2312"/>
          <w:color w:val="auto"/>
          <w:highlight w:val="none"/>
        </w:rPr>
        <w:t>一日办结</w:t>
      </w:r>
      <w:r>
        <w:rPr>
          <w:rFonts w:hint="eastAsia" w:eastAsia="仿宋_GB2312"/>
          <w:color w:val="auto"/>
          <w:highlight w:val="none"/>
          <w:lang w:eastAsia="zh-CN"/>
        </w:rPr>
        <w:t>”</w:t>
      </w:r>
      <w:r>
        <w:rPr>
          <w:rFonts w:hint="eastAsia" w:eastAsia="仿宋_GB2312"/>
          <w:color w:val="auto"/>
          <w:highlight w:val="none"/>
        </w:rPr>
        <w:t>。推动公共资源交易平台整合共享，提高平台电子化交易水平。抓好市县乡村一体化政务服务体系建设，深化</w:t>
      </w:r>
      <w:r>
        <w:rPr>
          <w:rFonts w:hint="eastAsia" w:eastAsia="仿宋_GB2312"/>
          <w:color w:val="auto"/>
          <w:highlight w:val="none"/>
          <w:lang w:eastAsia="zh-CN"/>
        </w:rPr>
        <w:t>“</w:t>
      </w:r>
      <w:r>
        <w:rPr>
          <w:rFonts w:hint="eastAsia" w:eastAsia="仿宋_GB2312"/>
          <w:color w:val="auto"/>
          <w:highlight w:val="none"/>
        </w:rPr>
        <w:t>互联网</w:t>
      </w:r>
      <w:r>
        <w:rPr>
          <w:rFonts w:eastAsia="仿宋_GB2312"/>
          <w:color w:val="auto"/>
          <w:highlight w:val="none"/>
        </w:rPr>
        <w:t>+</w:t>
      </w:r>
      <w:r>
        <w:rPr>
          <w:rFonts w:hint="eastAsia" w:eastAsia="仿宋_GB2312"/>
          <w:color w:val="auto"/>
          <w:highlight w:val="none"/>
        </w:rPr>
        <w:t>政务服务</w:t>
      </w:r>
      <w:r>
        <w:rPr>
          <w:rFonts w:hint="eastAsia" w:eastAsia="仿宋_GB2312"/>
          <w:color w:val="auto"/>
          <w:highlight w:val="none"/>
          <w:lang w:eastAsia="zh-CN"/>
        </w:rPr>
        <w:t>”</w:t>
      </w:r>
      <w:r>
        <w:rPr>
          <w:rFonts w:hint="eastAsia" w:eastAsia="仿宋_GB2312"/>
          <w:color w:val="auto"/>
          <w:highlight w:val="none"/>
        </w:rPr>
        <w:t>，扩大政务公开，加快推进政务服务一网通办和跨区域通办</w:t>
      </w:r>
      <w:r>
        <w:rPr>
          <w:rFonts w:hint="eastAsia" w:eastAsia="仿宋_GB2312"/>
          <w:color w:val="auto"/>
          <w:highlight w:val="none"/>
          <w:lang w:eastAsia="zh-CN"/>
        </w:rPr>
        <w:t>，努力实现“一次不用跑”</w:t>
      </w:r>
      <w:r>
        <w:rPr>
          <w:rFonts w:hint="eastAsia" w:eastAsia="仿宋_GB2312"/>
          <w:color w:val="auto"/>
          <w:highlight w:val="none"/>
        </w:rPr>
        <w:t>。提升企业注销便利度，强化税务、社保、金融、市场监管等环节协同办理，扩大简易注销范围，让市场主体进得来、退得出。全面落实减税降费政策措施，依法依规清理规范涉企收费，降低企业综合成本。</w:t>
      </w:r>
    </w:p>
    <w:p w14:paraId="33E7D246">
      <w:pPr>
        <w:spacing w:line="560" w:lineRule="exact"/>
        <w:ind w:firstLine="640" w:firstLineChars="200"/>
        <w:outlineLvl w:val="2"/>
        <w:rPr>
          <w:b w:val="0"/>
          <w:bCs w:val="0"/>
          <w:color w:val="auto"/>
          <w:highlight w:val="none"/>
        </w:rPr>
      </w:pPr>
      <w:bookmarkStart w:id="398" w:name="_Toc31824"/>
      <w:bookmarkStart w:id="399" w:name="_Toc4627"/>
      <w:bookmarkStart w:id="400" w:name="_Toc24995"/>
      <w:r>
        <w:rPr>
          <w:rFonts w:hint="eastAsia"/>
          <w:b w:val="0"/>
          <w:bCs w:val="0"/>
          <w:color w:val="auto"/>
          <w:highlight w:val="none"/>
        </w:rPr>
        <w:t>（二）完善公平竞争的市场环境</w:t>
      </w:r>
      <w:bookmarkEnd w:id="398"/>
      <w:bookmarkEnd w:id="399"/>
      <w:bookmarkEnd w:id="400"/>
    </w:p>
    <w:p w14:paraId="7A64657E">
      <w:pPr>
        <w:spacing w:line="560" w:lineRule="exact"/>
        <w:ind w:firstLine="640" w:firstLineChars="200"/>
        <w:rPr>
          <w:rFonts w:hint="eastAsia" w:eastAsia="仿宋_GB2312"/>
          <w:color w:val="auto"/>
          <w:highlight w:val="none"/>
        </w:rPr>
      </w:pPr>
      <w:r>
        <w:rPr>
          <w:rFonts w:hint="eastAsia" w:eastAsia="仿宋_GB2312"/>
          <w:color w:val="auto"/>
          <w:highlight w:val="none"/>
        </w:rPr>
        <w:t>坚持</w:t>
      </w:r>
      <w:r>
        <w:rPr>
          <w:rFonts w:hint="eastAsia" w:eastAsia="仿宋_GB2312"/>
          <w:color w:val="auto"/>
          <w:highlight w:val="none"/>
          <w:lang w:eastAsia="zh-CN"/>
        </w:rPr>
        <w:t>“</w:t>
      </w:r>
      <w:r>
        <w:rPr>
          <w:rFonts w:hint="eastAsia" w:eastAsia="仿宋_GB2312"/>
          <w:color w:val="auto"/>
          <w:highlight w:val="none"/>
        </w:rPr>
        <w:t>两个毫不动摇</w:t>
      </w:r>
      <w:r>
        <w:rPr>
          <w:rFonts w:hint="eastAsia" w:eastAsia="仿宋_GB2312"/>
          <w:color w:val="auto"/>
          <w:highlight w:val="none"/>
          <w:lang w:eastAsia="zh-CN"/>
        </w:rPr>
        <w:t>”</w:t>
      </w:r>
      <w:r>
        <w:rPr>
          <w:rFonts w:hint="eastAsia" w:eastAsia="仿宋_GB2312"/>
          <w:color w:val="auto"/>
          <w:highlight w:val="none"/>
        </w:rPr>
        <w:t>，保障民营企业依法平等使用资源要素，公开公平公正参与竞争。全面推行权力清单、责任清单、负面清单制度，加强重大政策事前评估和事后评价，系统排查、清理各类显性和隐性壁垒。全面推行</w:t>
      </w:r>
      <w:r>
        <w:rPr>
          <w:rFonts w:hint="eastAsia" w:eastAsia="仿宋_GB2312"/>
          <w:color w:val="auto"/>
          <w:highlight w:val="none"/>
          <w:lang w:eastAsia="zh-CN"/>
        </w:rPr>
        <w:t>“</w:t>
      </w:r>
      <w:r>
        <w:rPr>
          <w:rFonts w:hint="eastAsia" w:eastAsia="仿宋_GB2312"/>
          <w:color w:val="auto"/>
          <w:highlight w:val="none"/>
        </w:rPr>
        <w:t>双随机、一公开</w:t>
      </w:r>
      <w:r>
        <w:rPr>
          <w:rFonts w:hint="eastAsia" w:eastAsia="仿宋_GB2312"/>
          <w:color w:val="auto"/>
          <w:highlight w:val="none"/>
          <w:lang w:eastAsia="zh-CN"/>
        </w:rPr>
        <w:t>”</w:t>
      </w:r>
      <w:r>
        <w:rPr>
          <w:rFonts w:hint="eastAsia" w:eastAsia="仿宋_GB2312"/>
          <w:color w:val="auto"/>
          <w:highlight w:val="none"/>
        </w:rPr>
        <w:t>监管，推动跨部门联合执法，对新产业、新业态、新模式探索实施包容审慎监管。加快诚信秦皇岛建设，建立部门间信息共享、协同监管和联合奖惩机制，争创全国社会信用体系建设示范城市。完善促进中小微企业和个体工商户发展的政策体系，推动各项惠企政策落地落实，构建亲清政商关系。完善领导包联帮扶机制，激发市场主体活力。</w:t>
      </w:r>
      <w:r>
        <w:rPr>
          <w:rFonts w:hint="eastAsia" w:eastAsia="仿宋_GB2312"/>
          <w:color w:val="auto"/>
          <w:highlight w:val="none"/>
          <w:lang w:eastAsia="zh-CN"/>
        </w:rPr>
        <w:t>对照</w:t>
      </w:r>
      <w:r>
        <w:rPr>
          <w:rFonts w:hint="eastAsia" w:eastAsia="仿宋_GB2312"/>
          <w:color w:val="auto"/>
          <w:highlight w:val="none"/>
        </w:rPr>
        <w:t>国际通行规则，建立健全营商环境评价的常态化机制。持续加大法治环境、政务环境、市场环境、社会环境、开放环境等重点领域整治力度，严厉打击侵害民营企业权益的违法犯罪行为，维护民营企业和企业家的合法权益，营造稳定公平透明、可预期的发展环境。</w:t>
      </w:r>
    </w:p>
    <w:p w14:paraId="13818588">
      <w:pPr>
        <w:pStyle w:val="23"/>
        <w:rPr>
          <w:color w:val="auto"/>
          <w:highlight w:val="none"/>
        </w:rPr>
      </w:pPr>
    </w:p>
    <w:p w14:paraId="048440C6">
      <w:pPr>
        <w:pStyle w:val="37"/>
        <w:keepNext/>
        <w:keepLines/>
        <w:pageBreakBefore w:val="0"/>
        <w:widowControl w:val="0"/>
        <w:kinsoku/>
        <w:wordWrap/>
        <w:overflowPunct/>
        <w:topLinePunct w:val="0"/>
        <w:autoSpaceDE/>
        <w:autoSpaceDN/>
        <w:bidi w:val="0"/>
        <w:adjustRightInd/>
        <w:snapToGrid/>
        <w:spacing w:before="313" w:beforeLines="100" w:after="313" w:afterLines="100" w:line="560" w:lineRule="exact"/>
        <w:ind w:left="159"/>
        <w:textAlignment w:val="auto"/>
        <w:outlineLvl w:val="0"/>
        <w:rPr>
          <w:rFonts w:ascii="Times New Roman" w:hAnsi="Times New Roman"/>
          <w:b w:val="0"/>
          <w:color w:val="auto"/>
          <w:sz w:val="36"/>
          <w:szCs w:val="36"/>
          <w:highlight w:val="none"/>
        </w:rPr>
      </w:pPr>
      <w:bookmarkStart w:id="401" w:name="_Toc29888"/>
      <w:bookmarkStart w:id="402" w:name="_Toc23022"/>
      <w:bookmarkStart w:id="403" w:name="_Toc23559"/>
      <w:r>
        <w:rPr>
          <w:rFonts w:hint="eastAsia" w:ascii="Times New Roman" w:hAnsi="Times New Roman"/>
          <w:color w:val="auto"/>
          <w:sz w:val="36"/>
          <w:szCs w:val="36"/>
          <w:highlight w:val="none"/>
        </w:rPr>
        <w:t>第七章</w:t>
      </w:r>
      <w:r>
        <w:rPr>
          <w:rFonts w:ascii="Times New Roman" w:hAnsi="Times New Roman"/>
          <w:color w:val="auto"/>
          <w:sz w:val="36"/>
          <w:szCs w:val="36"/>
          <w:highlight w:val="none"/>
        </w:rPr>
        <w:t xml:space="preserve"> </w:t>
      </w:r>
      <w:r>
        <w:rPr>
          <w:rFonts w:hint="eastAsia" w:ascii="Times New Roman" w:hAnsi="Times New Roman"/>
          <w:color w:val="auto"/>
          <w:sz w:val="36"/>
          <w:szCs w:val="36"/>
          <w:highlight w:val="none"/>
        </w:rPr>
        <w:t>优先发展农业农村，全面推进乡村振兴</w:t>
      </w:r>
      <w:bookmarkEnd w:id="401"/>
      <w:bookmarkEnd w:id="402"/>
    </w:p>
    <w:p w14:paraId="315DDA7D">
      <w:pPr>
        <w:spacing w:line="560" w:lineRule="exact"/>
        <w:ind w:firstLine="640" w:firstLineChars="200"/>
        <w:rPr>
          <w:rFonts w:eastAsia="仿宋_GB2312"/>
          <w:color w:val="auto"/>
          <w:highlight w:val="none"/>
        </w:rPr>
      </w:pPr>
      <w:r>
        <w:rPr>
          <w:rFonts w:hint="eastAsia" w:eastAsia="仿宋_GB2312"/>
          <w:color w:val="auto"/>
          <w:highlight w:val="none"/>
        </w:rPr>
        <w:t>坚持把解决好</w:t>
      </w:r>
      <w:r>
        <w:rPr>
          <w:rFonts w:hint="eastAsia" w:eastAsia="仿宋_GB2312"/>
          <w:color w:val="auto"/>
          <w:highlight w:val="none"/>
          <w:lang w:eastAsia="zh-CN"/>
        </w:rPr>
        <w:t>“</w:t>
      </w:r>
      <w:r>
        <w:rPr>
          <w:rFonts w:hint="eastAsia" w:eastAsia="仿宋_GB2312"/>
          <w:color w:val="auto"/>
          <w:highlight w:val="none"/>
        </w:rPr>
        <w:t>三农</w:t>
      </w:r>
      <w:r>
        <w:rPr>
          <w:rFonts w:hint="eastAsia" w:eastAsia="仿宋_GB2312"/>
          <w:color w:val="auto"/>
          <w:highlight w:val="none"/>
          <w:lang w:eastAsia="zh-CN"/>
        </w:rPr>
        <w:t>”</w:t>
      </w:r>
      <w:r>
        <w:rPr>
          <w:rFonts w:hint="eastAsia" w:eastAsia="仿宋_GB2312"/>
          <w:color w:val="auto"/>
          <w:highlight w:val="none"/>
        </w:rPr>
        <w:t>问题作为重中之重，全面实施乡村振兴战略，加快农业农村现代化，提高农业质量效益和竞争力，深化农村改革，实现巩固拓展脱贫攻坚成果同乡村振兴有效衔接，以城带乡，推动形成工农互促、城乡互补、协调发展、共同繁荣的新型工农城乡关系。</w:t>
      </w:r>
    </w:p>
    <w:p w14:paraId="1A34699F">
      <w:pPr>
        <w:spacing w:line="560" w:lineRule="exact"/>
        <w:ind w:firstLine="646"/>
        <w:outlineLvl w:val="1"/>
        <w:rPr>
          <w:rFonts w:eastAsia="黑体"/>
          <w:color w:val="auto"/>
          <w:highlight w:val="none"/>
        </w:rPr>
      </w:pPr>
      <w:bookmarkStart w:id="404" w:name="_Toc12560"/>
      <w:bookmarkStart w:id="405" w:name="_Toc24910"/>
      <w:bookmarkStart w:id="406" w:name="_Toc24626"/>
      <w:r>
        <w:rPr>
          <w:rFonts w:hint="eastAsia" w:eastAsia="黑体"/>
          <w:color w:val="auto"/>
          <w:highlight w:val="none"/>
        </w:rPr>
        <w:t>一、加快推进农业现代化</w:t>
      </w:r>
      <w:bookmarkEnd w:id="404"/>
      <w:bookmarkEnd w:id="405"/>
      <w:bookmarkEnd w:id="406"/>
    </w:p>
    <w:p w14:paraId="78951305">
      <w:pPr>
        <w:spacing w:line="560" w:lineRule="exact"/>
        <w:ind w:firstLine="640" w:firstLineChars="200"/>
        <w:rPr>
          <w:rFonts w:eastAsia="仿宋_GB2312"/>
          <w:color w:val="auto"/>
          <w:highlight w:val="none"/>
        </w:rPr>
      </w:pPr>
      <w:r>
        <w:rPr>
          <w:rFonts w:hint="eastAsia" w:eastAsia="仿宋_GB2312"/>
          <w:color w:val="auto"/>
          <w:highlight w:val="none"/>
        </w:rPr>
        <w:t>深化农业供给侧结构性改革，优化农产品区域布局，在粮油提质效、果菜创品牌、畜牧转方式、水产可持续、功能深拓展等方面下功夫，提升产业集中度和供给层次。</w:t>
      </w:r>
    </w:p>
    <w:p w14:paraId="79C762CF">
      <w:pPr>
        <w:spacing w:line="560" w:lineRule="exact"/>
        <w:ind w:firstLine="640" w:firstLineChars="200"/>
        <w:outlineLvl w:val="2"/>
        <w:rPr>
          <w:b w:val="0"/>
          <w:bCs w:val="0"/>
          <w:color w:val="auto"/>
          <w:highlight w:val="none"/>
        </w:rPr>
      </w:pPr>
      <w:bookmarkStart w:id="407" w:name="_Toc11261"/>
      <w:bookmarkStart w:id="408" w:name="_Toc26541"/>
      <w:r>
        <w:rPr>
          <w:rFonts w:hint="eastAsia"/>
          <w:b w:val="0"/>
          <w:bCs w:val="0"/>
          <w:color w:val="auto"/>
          <w:highlight w:val="none"/>
        </w:rPr>
        <w:t>（一）稳定粮食综合生产能力</w:t>
      </w:r>
      <w:bookmarkEnd w:id="407"/>
      <w:bookmarkEnd w:id="408"/>
    </w:p>
    <w:p w14:paraId="0802E8B5">
      <w:pPr>
        <w:spacing w:line="560" w:lineRule="exact"/>
        <w:ind w:firstLine="640" w:firstLineChars="200"/>
        <w:rPr>
          <w:rFonts w:eastAsia="仿宋_GB2312"/>
          <w:color w:val="auto"/>
          <w:highlight w:val="none"/>
        </w:rPr>
      </w:pPr>
      <w:r>
        <w:rPr>
          <w:rFonts w:hint="eastAsia" w:eastAsia="仿宋_GB2312"/>
          <w:color w:val="auto"/>
          <w:highlight w:val="none"/>
        </w:rPr>
        <w:t>落实国家粮食安全战略。深入实施藏粮于地、藏粮于技战略，落实粮食安全责任制，健全农业支持保护制度，引导农业优质资源优先保障粮食生产。以粮食生产功能区为重点加快推进高标准农田建设。实施优质粮食工程，引进试验示范优良品种，全面加强种子质量监管，健全农作物病虫害防治体系，促进粮食丰产增收。强化农业科技和装备支撑，推进农业机械化进程，全面提高粮食生产效率效益。执行好粮食最低收购价政策，保持农产品价格合理水平。落实</w:t>
      </w:r>
      <w:r>
        <w:rPr>
          <w:rFonts w:hint="eastAsia" w:eastAsia="仿宋_GB2312"/>
          <w:color w:val="auto"/>
          <w:highlight w:val="none"/>
          <w:lang w:eastAsia="zh-CN"/>
        </w:rPr>
        <w:t>“</w:t>
      </w:r>
      <w:r>
        <w:rPr>
          <w:rFonts w:hint="eastAsia" w:eastAsia="仿宋_GB2312"/>
          <w:color w:val="auto"/>
          <w:highlight w:val="none"/>
        </w:rPr>
        <w:t>菜篮子</w:t>
      </w:r>
      <w:r>
        <w:rPr>
          <w:rFonts w:hint="eastAsia" w:eastAsia="仿宋_GB2312"/>
          <w:color w:val="auto"/>
          <w:highlight w:val="none"/>
          <w:lang w:eastAsia="zh-CN"/>
        </w:rPr>
        <w:t>”</w:t>
      </w:r>
      <w:r>
        <w:rPr>
          <w:rFonts w:hint="eastAsia" w:eastAsia="仿宋_GB2312"/>
          <w:color w:val="auto"/>
          <w:highlight w:val="none"/>
        </w:rPr>
        <w:t>负责制，保障粮油等重要农产品和肉菜蛋奶果等农副产品安全。到</w:t>
      </w:r>
      <w:r>
        <w:rPr>
          <w:rFonts w:eastAsia="仿宋_GB2312"/>
          <w:color w:val="auto"/>
          <w:highlight w:val="none"/>
        </w:rPr>
        <w:t>2025</w:t>
      </w:r>
      <w:r>
        <w:rPr>
          <w:rFonts w:hint="eastAsia" w:eastAsia="仿宋_GB2312"/>
          <w:color w:val="auto"/>
          <w:highlight w:val="none"/>
        </w:rPr>
        <w:t>年，全市粮食面积稳定在</w:t>
      </w:r>
      <w:r>
        <w:rPr>
          <w:rFonts w:eastAsia="仿宋_GB2312"/>
          <w:color w:val="auto"/>
          <w:highlight w:val="none"/>
        </w:rPr>
        <w:t>192.8</w:t>
      </w:r>
      <w:r>
        <w:rPr>
          <w:rFonts w:hint="eastAsia" w:eastAsia="仿宋_GB2312"/>
          <w:color w:val="auto"/>
          <w:highlight w:val="none"/>
        </w:rPr>
        <w:t>万亩，总产量稳定在</w:t>
      </w:r>
      <w:r>
        <w:rPr>
          <w:rFonts w:eastAsia="仿宋_GB2312"/>
          <w:color w:val="auto"/>
          <w:highlight w:val="none"/>
        </w:rPr>
        <w:t>72.5</w:t>
      </w:r>
      <w:r>
        <w:rPr>
          <w:rFonts w:hint="eastAsia" w:eastAsia="仿宋_GB2312"/>
          <w:color w:val="auto"/>
          <w:highlight w:val="none"/>
        </w:rPr>
        <w:t>万吨以上。</w:t>
      </w:r>
      <w:bookmarkStart w:id="409" w:name="_Toc28133_WPSOffice_Level3"/>
    </w:p>
    <w:p w14:paraId="0CD18277">
      <w:pPr>
        <w:spacing w:line="560" w:lineRule="exact"/>
        <w:ind w:firstLine="640" w:firstLineChars="200"/>
        <w:rPr>
          <w:rFonts w:eastAsia="仿宋_GB2312"/>
          <w:color w:val="auto"/>
          <w:highlight w:val="none"/>
        </w:rPr>
      </w:pPr>
      <w:r>
        <w:rPr>
          <w:rFonts w:hint="eastAsia" w:eastAsia="仿宋_GB2312"/>
          <w:color w:val="auto"/>
          <w:highlight w:val="none"/>
        </w:rPr>
        <w:t>加强耕地保护和建设</w:t>
      </w:r>
      <w:bookmarkEnd w:id="409"/>
      <w:r>
        <w:rPr>
          <w:rFonts w:hint="eastAsia" w:eastAsia="仿宋_GB2312"/>
          <w:color w:val="auto"/>
          <w:highlight w:val="none"/>
        </w:rPr>
        <w:t>。严守耕地红线，加强基本农田保护，全面落实永久基本农田特殊保护制度，到</w:t>
      </w:r>
      <w:r>
        <w:rPr>
          <w:rFonts w:eastAsia="仿宋_GB2312"/>
          <w:color w:val="auto"/>
          <w:highlight w:val="none"/>
        </w:rPr>
        <w:t>2025</w:t>
      </w:r>
      <w:r>
        <w:rPr>
          <w:rFonts w:hint="eastAsia" w:eastAsia="仿宋_GB2312"/>
          <w:color w:val="auto"/>
          <w:highlight w:val="none"/>
        </w:rPr>
        <w:t>年，全市永久基本农田保护面积不少于</w:t>
      </w:r>
      <w:r>
        <w:rPr>
          <w:rFonts w:eastAsia="仿宋_GB2312"/>
          <w:color w:val="auto"/>
          <w:highlight w:val="none"/>
        </w:rPr>
        <w:t>222.4</w:t>
      </w:r>
      <w:r>
        <w:rPr>
          <w:rFonts w:hint="eastAsia" w:eastAsia="仿宋_GB2312"/>
          <w:color w:val="auto"/>
          <w:highlight w:val="none"/>
        </w:rPr>
        <w:t>万亩。实施耕地质量保护与提升行动，大力加强农田水利建设，实施大中型灌区节水改造、田间渠系配套等工程项目，推广先进适用节水灌溉技术，积极发展节水灌溉。深入实施</w:t>
      </w:r>
      <w:r>
        <w:rPr>
          <w:rFonts w:hint="eastAsia" w:eastAsia="仿宋_GB2312"/>
          <w:color w:val="auto"/>
          <w:highlight w:val="none"/>
          <w:lang w:eastAsia="zh-CN"/>
        </w:rPr>
        <w:t>“</w:t>
      </w:r>
      <w:r>
        <w:rPr>
          <w:rFonts w:hint="eastAsia" w:eastAsia="仿宋_GB2312"/>
          <w:color w:val="auto"/>
          <w:highlight w:val="none"/>
        </w:rPr>
        <w:t>科技兴粮</w:t>
      </w:r>
      <w:r>
        <w:rPr>
          <w:rFonts w:hint="eastAsia" w:eastAsia="仿宋_GB2312"/>
          <w:color w:val="auto"/>
          <w:highlight w:val="none"/>
          <w:lang w:eastAsia="zh-CN"/>
        </w:rPr>
        <w:t>”</w:t>
      </w:r>
      <w:r>
        <w:rPr>
          <w:rFonts w:hint="eastAsia" w:eastAsia="仿宋_GB2312"/>
          <w:color w:val="auto"/>
          <w:highlight w:val="none"/>
        </w:rPr>
        <w:t>工程，全面推广绿色高产高效模式。降低耕地开发利用强度，有序推进重点区域、重点品种的轮作，集成推广一批有利于改良土壤、培肥地力、种地养地、减少地下水开采相结合的生产技术模式。</w:t>
      </w:r>
      <w:bookmarkStart w:id="410" w:name="_Toc30993"/>
    </w:p>
    <w:p w14:paraId="0A588D49">
      <w:pPr>
        <w:spacing w:line="560" w:lineRule="exact"/>
        <w:ind w:firstLine="640" w:firstLineChars="200"/>
        <w:outlineLvl w:val="2"/>
        <w:rPr>
          <w:b w:val="0"/>
          <w:bCs w:val="0"/>
          <w:color w:val="auto"/>
          <w:highlight w:val="none"/>
        </w:rPr>
      </w:pPr>
      <w:bookmarkStart w:id="411" w:name="_Toc23555"/>
      <w:r>
        <w:rPr>
          <w:rFonts w:hint="eastAsia"/>
          <w:b w:val="0"/>
          <w:bCs w:val="0"/>
          <w:color w:val="auto"/>
          <w:highlight w:val="none"/>
        </w:rPr>
        <w:t>（二）优化农业生产布局</w:t>
      </w:r>
      <w:bookmarkEnd w:id="410"/>
      <w:bookmarkEnd w:id="411"/>
    </w:p>
    <w:p w14:paraId="2A8C18B0">
      <w:pPr>
        <w:pStyle w:val="53"/>
        <w:rPr>
          <w:rFonts w:hint="eastAsia"/>
          <w:color w:val="auto"/>
          <w:highlight w:val="none"/>
        </w:rPr>
      </w:pPr>
      <w:r>
        <w:rPr>
          <w:rFonts w:hint="eastAsia" w:eastAsia="仿宋_GB2312"/>
          <w:color w:val="auto"/>
          <w:highlight w:val="none"/>
        </w:rPr>
        <w:t>立足不同县区资源禀赋和产业特色，</w:t>
      </w:r>
      <w:r>
        <w:rPr>
          <w:rFonts w:hint="eastAsia" w:eastAsia="仿宋_GB2312"/>
          <w:color w:val="auto"/>
          <w:highlight w:val="none"/>
          <w:lang w:eastAsia="zh-CN"/>
        </w:rPr>
        <w:t>围绕</w:t>
      </w:r>
      <w:r>
        <w:rPr>
          <w:rFonts w:hint="eastAsia"/>
          <w:color w:val="auto"/>
          <w:highlight w:val="none"/>
        </w:rPr>
        <w:t>构建优势产业集群、延伸产业链条，确立</w:t>
      </w:r>
      <w:r>
        <w:rPr>
          <w:rFonts w:hint="eastAsia"/>
          <w:color w:val="auto"/>
          <w:highlight w:val="none"/>
          <w:lang w:eastAsia="zh-CN"/>
        </w:rPr>
        <w:t>“</w:t>
      </w:r>
      <w:r>
        <w:rPr>
          <w:rFonts w:hint="eastAsia"/>
          <w:color w:val="auto"/>
          <w:highlight w:val="none"/>
        </w:rPr>
        <w:t>三区多园</w:t>
      </w:r>
      <w:r>
        <w:rPr>
          <w:rFonts w:hint="eastAsia"/>
          <w:color w:val="auto"/>
          <w:highlight w:val="none"/>
          <w:lang w:eastAsia="zh-CN"/>
        </w:rPr>
        <w:t>”</w:t>
      </w:r>
      <w:r>
        <w:rPr>
          <w:rFonts w:hint="eastAsia"/>
          <w:color w:val="auto"/>
          <w:highlight w:val="none"/>
        </w:rPr>
        <w:t>现代农业总体布局。</w:t>
      </w:r>
      <w:r>
        <w:rPr>
          <w:rFonts w:hint="eastAsia"/>
          <w:color w:val="auto"/>
          <w:highlight w:val="none"/>
          <w:lang w:eastAsia="zh-CN"/>
        </w:rPr>
        <w:t>三</w:t>
      </w:r>
      <w:r>
        <w:rPr>
          <w:rFonts w:hint="eastAsia"/>
          <w:color w:val="auto"/>
          <w:highlight w:val="none"/>
        </w:rPr>
        <w:t>区</w:t>
      </w:r>
      <w:r>
        <w:rPr>
          <w:rFonts w:hint="eastAsia"/>
          <w:color w:val="auto"/>
          <w:highlight w:val="none"/>
          <w:lang w:eastAsia="zh-CN"/>
        </w:rPr>
        <w:t>主要包括</w:t>
      </w:r>
      <w:r>
        <w:rPr>
          <w:rFonts w:hint="eastAsia"/>
          <w:color w:val="auto"/>
          <w:highlight w:val="none"/>
        </w:rPr>
        <w:t>北部山地农业区</w:t>
      </w:r>
      <w:r>
        <w:rPr>
          <w:rFonts w:hint="eastAsia"/>
          <w:color w:val="auto"/>
          <w:highlight w:val="none"/>
          <w:lang w:eastAsia="zh-CN"/>
        </w:rPr>
        <w:t>、</w:t>
      </w:r>
      <w:r>
        <w:rPr>
          <w:rFonts w:hint="eastAsia"/>
          <w:color w:val="auto"/>
          <w:highlight w:val="none"/>
        </w:rPr>
        <w:t>中部平原农业区</w:t>
      </w:r>
      <w:r>
        <w:rPr>
          <w:rFonts w:hint="eastAsia"/>
          <w:color w:val="auto"/>
          <w:highlight w:val="none"/>
          <w:lang w:eastAsia="zh-CN"/>
        </w:rPr>
        <w:t>、</w:t>
      </w:r>
      <w:r>
        <w:rPr>
          <w:rFonts w:hint="eastAsia"/>
          <w:color w:val="auto"/>
          <w:highlight w:val="none"/>
        </w:rPr>
        <w:t>南部滨海农业区</w:t>
      </w:r>
      <w:r>
        <w:rPr>
          <w:rFonts w:hint="eastAsia"/>
          <w:color w:val="auto"/>
          <w:highlight w:val="none"/>
          <w:lang w:eastAsia="zh-CN"/>
        </w:rPr>
        <w:t>，其中：</w:t>
      </w:r>
      <w:r>
        <w:rPr>
          <w:rFonts w:hint="eastAsia"/>
          <w:color w:val="auto"/>
          <w:highlight w:val="none"/>
        </w:rPr>
        <w:t>北部山地农业区以生态保育型农业为主，突出生态保障，开展山区综合开发，发展沟域经济、林果产业和林下经济，打造山区绿色农业。中部平原农业区以高效绿色基地型农业为主，加强粮食生产功能区、重要农产品生产保护区和特色农产品优势区建设，推进优质粮食工程，打造粮食、蔬菜、畜禽等优势特色农产品生产、加工、物流基地，发展现代都市农业，以及采摘和休闲观光等特色农业。南部滨海农业区以都市现代农业和优质海产品生产为主，建设城市</w:t>
      </w:r>
      <w:r>
        <w:rPr>
          <w:rFonts w:hint="eastAsia"/>
          <w:color w:val="auto"/>
          <w:highlight w:val="none"/>
          <w:lang w:eastAsia="zh-CN"/>
        </w:rPr>
        <w:t>“</w:t>
      </w:r>
      <w:r>
        <w:rPr>
          <w:rFonts w:hint="eastAsia"/>
          <w:color w:val="auto"/>
          <w:highlight w:val="none"/>
        </w:rPr>
        <w:t>菜篮子</w:t>
      </w:r>
      <w:r>
        <w:rPr>
          <w:rFonts w:hint="eastAsia"/>
          <w:color w:val="auto"/>
          <w:highlight w:val="none"/>
          <w:lang w:eastAsia="zh-CN"/>
        </w:rPr>
        <w:t>”</w:t>
      </w:r>
      <w:r>
        <w:rPr>
          <w:rFonts w:hint="eastAsia"/>
          <w:color w:val="auto"/>
          <w:highlight w:val="none"/>
        </w:rPr>
        <w:t>产品供给区、河北省特色优质海产品供应基地和特色海产品出口创汇基地，促进农业与旅游业有机结合，打造农耕休闲旅游区和休闲渔业产业带。</w:t>
      </w:r>
      <w:r>
        <w:rPr>
          <w:rFonts w:hint="eastAsia"/>
          <w:color w:val="auto"/>
          <w:highlight w:val="none"/>
          <w:lang w:eastAsia="zh-CN"/>
        </w:rPr>
        <w:t>“</w:t>
      </w:r>
      <w:r>
        <w:rPr>
          <w:rFonts w:hint="eastAsia"/>
          <w:color w:val="auto"/>
          <w:highlight w:val="none"/>
        </w:rPr>
        <w:t>多园</w:t>
      </w:r>
      <w:r>
        <w:rPr>
          <w:rFonts w:hint="eastAsia"/>
          <w:color w:val="auto"/>
          <w:highlight w:val="none"/>
          <w:lang w:eastAsia="zh-CN"/>
        </w:rPr>
        <w:t>”，即</w:t>
      </w:r>
      <w:r>
        <w:rPr>
          <w:rFonts w:hint="eastAsia"/>
          <w:color w:val="auto"/>
          <w:highlight w:val="none"/>
        </w:rPr>
        <w:t>建设多样化特色农业产业园区，形成</w:t>
      </w:r>
      <w:r>
        <w:rPr>
          <w:rFonts w:hint="eastAsia"/>
          <w:color w:val="auto"/>
          <w:highlight w:val="none"/>
          <w:lang w:eastAsia="zh-CN"/>
        </w:rPr>
        <w:t>“</w:t>
      </w:r>
      <w:r>
        <w:rPr>
          <w:rFonts w:hint="eastAsia"/>
          <w:color w:val="auto"/>
          <w:highlight w:val="none"/>
        </w:rPr>
        <w:t>生产+加工+科技</w:t>
      </w:r>
      <w:r>
        <w:rPr>
          <w:rFonts w:hint="eastAsia"/>
          <w:color w:val="auto"/>
          <w:highlight w:val="none"/>
          <w:lang w:eastAsia="zh-CN"/>
        </w:rPr>
        <w:t>”</w:t>
      </w:r>
      <w:r>
        <w:rPr>
          <w:rFonts w:hint="eastAsia"/>
          <w:color w:val="auto"/>
          <w:highlight w:val="none"/>
        </w:rPr>
        <w:t>全产业链农业产业发展模式，包括农业科技园、加工业园区和物流园区等。</w:t>
      </w:r>
    </w:p>
    <w:p w14:paraId="385E6D77">
      <w:pPr>
        <w:spacing w:line="560" w:lineRule="exact"/>
        <w:ind w:firstLine="640" w:firstLineChars="200"/>
        <w:outlineLvl w:val="2"/>
        <w:rPr>
          <w:b w:val="0"/>
          <w:bCs w:val="0"/>
          <w:color w:val="auto"/>
          <w:highlight w:val="none"/>
        </w:rPr>
      </w:pPr>
      <w:bookmarkStart w:id="412" w:name="_Toc20399"/>
      <w:bookmarkStart w:id="413" w:name="_Toc616"/>
      <w:bookmarkStart w:id="414" w:name="_Toc29824"/>
      <w:r>
        <w:rPr>
          <w:rFonts w:hint="eastAsia"/>
          <w:b w:val="0"/>
          <w:bCs w:val="0"/>
          <w:color w:val="auto"/>
          <w:highlight w:val="none"/>
        </w:rPr>
        <w:t>（三）加快农业结构调整</w:t>
      </w:r>
      <w:bookmarkEnd w:id="412"/>
      <w:bookmarkEnd w:id="413"/>
      <w:bookmarkEnd w:id="414"/>
    </w:p>
    <w:p w14:paraId="19E812BC">
      <w:pPr>
        <w:spacing w:line="560" w:lineRule="exact"/>
        <w:ind w:firstLine="640" w:firstLineChars="200"/>
        <w:rPr>
          <w:rFonts w:eastAsia="仿宋_GB2312"/>
          <w:color w:val="auto"/>
          <w:highlight w:val="none"/>
        </w:rPr>
      </w:pPr>
      <w:r>
        <w:rPr>
          <w:rFonts w:hint="eastAsia" w:eastAsia="仿宋_GB2312"/>
          <w:color w:val="auto"/>
          <w:highlight w:val="none"/>
        </w:rPr>
        <w:t>进一步提升绿色优质农产品供给能力。在确保粮食安全的基础上，适度调减非功能区高耗水低效的农作物种植面积，积极发展专用型小麦和粮饲兼用型玉米的种植，以高端设施蔬菜、休闲养生等特色高效产业为重点，着力打造一批服务城市、宜居生态、优质高效的都市</w:t>
      </w:r>
      <w:r>
        <w:rPr>
          <w:rFonts w:hint="eastAsia" w:eastAsia="仿宋_GB2312"/>
          <w:color w:val="auto"/>
          <w:highlight w:val="none"/>
          <w:lang w:eastAsia="zh-CN"/>
        </w:rPr>
        <w:t>“</w:t>
      </w:r>
      <w:r>
        <w:rPr>
          <w:rFonts w:hint="eastAsia" w:eastAsia="仿宋_GB2312"/>
          <w:color w:val="auto"/>
          <w:highlight w:val="none"/>
        </w:rPr>
        <w:t>菜篮子</w:t>
      </w:r>
      <w:r>
        <w:rPr>
          <w:rFonts w:hint="eastAsia" w:eastAsia="仿宋_GB2312"/>
          <w:color w:val="auto"/>
          <w:highlight w:val="none"/>
          <w:lang w:eastAsia="zh-CN"/>
        </w:rPr>
        <w:t>”</w:t>
      </w:r>
      <w:r>
        <w:rPr>
          <w:rFonts w:hint="eastAsia" w:eastAsia="仿宋_GB2312"/>
          <w:color w:val="auto"/>
          <w:highlight w:val="none"/>
        </w:rPr>
        <w:t>产品供给区、农业先进生产要素聚集区和农业多功能开发先行区。立足资源禀赋和环境承载力，重点发展高油酸花生、甘薯、蔬菜、食用菌、中药材、葡萄、大樱桃、苹果、板栗、核桃等</w:t>
      </w:r>
      <w:r>
        <w:rPr>
          <w:rFonts w:eastAsia="仿宋_GB2312"/>
          <w:color w:val="auto"/>
          <w:highlight w:val="none"/>
        </w:rPr>
        <w:t>10</w:t>
      </w:r>
      <w:r>
        <w:rPr>
          <w:rFonts w:hint="eastAsia" w:eastAsia="仿宋_GB2312"/>
          <w:color w:val="auto"/>
          <w:highlight w:val="none"/>
        </w:rPr>
        <w:t>大特色种植产业，建设</w:t>
      </w:r>
      <w:r>
        <w:rPr>
          <w:rFonts w:eastAsia="仿宋_GB2312"/>
          <w:color w:val="auto"/>
          <w:highlight w:val="none"/>
        </w:rPr>
        <w:t>100</w:t>
      </w:r>
      <w:r>
        <w:rPr>
          <w:rFonts w:hint="eastAsia" w:eastAsia="仿宋_GB2312"/>
          <w:color w:val="auto"/>
          <w:highlight w:val="none"/>
        </w:rPr>
        <w:t>个规模示范基地。做优做强畜牧养殖业，积极发展生猪、肉鸡、毛皮动物、肉羊、蛋鸡、肉牛、扇贝、海参、鲆鱼和淡水鱼等</w:t>
      </w:r>
      <w:r>
        <w:rPr>
          <w:rFonts w:eastAsia="仿宋_GB2312"/>
          <w:color w:val="auto"/>
          <w:highlight w:val="none"/>
        </w:rPr>
        <w:t>10</w:t>
      </w:r>
      <w:r>
        <w:rPr>
          <w:rFonts w:hint="eastAsia" w:eastAsia="仿宋_GB2312"/>
          <w:color w:val="auto"/>
          <w:highlight w:val="none"/>
        </w:rPr>
        <w:t>大特色养殖产业，大力推行</w:t>
      </w:r>
      <w:r>
        <w:rPr>
          <w:rFonts w:hint="eastAsia" w:eastAsia="仿宋_GB2312"/>
          <w:color w:val="auto"/>
          <w:highlight w:val="none"/>
          <w:lang w:eastAsia="zh-CN"/>
        </w:rPr>
        <w:t>“</w:t>
      </w:r>
      <w:r>
        <w:rPr>
          <w:rFonts w:hint="eastAsia" w:eastAsia="仿宋_GB2312"/>
          <w:color w:val="auto"/>
          <w:highlight w:val="none"/>
        </w:rPr>
        <w:t>龙头企业</w:t>
      </w:r>
      <w:r>
        <w:rPr>
          <w:rFonts w:eastAsia="仿宋_GB2312"/>
          <w:color w:val="auto"/>
          <w:highlight w:val="none"/>
        </w:rPr>
        <w:t>+</w:t>
      </w:r>
      <w:r>
        <w:rPr>
          <w:rFonts w:hint="eastAsia" w:eastAsia="仿宋_GB2312"/>
          <w:color w:val="auto"/>
          <w:highlight w:val="none"/>
        </w:rPr>
        <w:t>专业合作社</w:t>
      </w:r>
      <w:r>
        <w:rPr>
          <w:rFonts w:eastAsia="仿宋_GB2312"/>
          <w:color w:val="auto"/>
          <w:highlight w:val="none"/>
        </w:rPr>
        <w:t>+</w:t>
      </w:r>
      <w:r>
        <w:rPr>
          <w:rFonts w:hint="eastAsia" w:eastAsia="仿宋_GB2312"/>
          <w:color w:val="auto"/>
          <w:highlight w:val="none"/>
        </w:rPr>
        <w:t>农户</w:t>
      </w:r>
      <w:r>
        <w:rPr>
          <w:rFonts w:hint="eastAsia" w:eastAsia="仿宋_GB2312"/>
          <w:color w:val="auto"/>
          <w:highlight w:val="none"/>
          <w:lang w:eastAsia="zh-CN"/>
        </w:rPr>
        <w:t>”</w:t>
      </w:r>
      <w:r>
        <w:rPr>
          <w:rFonts w:hint="eastAsia" w:eastAsia="仿宋_GB2312"/>
          <w:color w:val="auto"/>
          <w:highlight w:val="none"/>
        </w:rPr>
        <w:t>集中共建联建标准化规模养殖场（小区）模式，引导分散养殖逐步向集约化养殖小区转移，加快推进标准化规模养殖和种养结合生态循环，建设</w:t>
      </w:r>
      <w:r>
        <w:rPr>
          <w:rFonts w:eastAsia="仿宋_GB2312"/>
          <w:color w:val="auto"/>
          <w:highlight w:val="none"/>
        </w:rPr>
        <w:t>100</w:t>
      </w:r>
      <w:r>
        <w:rPr>
          <w:rFonts w:hint="eastAsia" w:eastAsia="仿宋_GB2312"/>
          <w:color w:val="auto"/>
          <w:highlight w:val="none"/>
        </w:rPr>
        <w:t>个规模养殖示范场，</w:t>
      </w:r>
      <w:r>
        <w:rPr>
          <w:rFonts w:eastAsia="仿宋_GB2312"/>
          <w:color w:val="auto"/>
          <w:highlight w:val="none"/>
        </w:rPr>
        <w:t>8</w:t>
      </w:r>
      <w:r>
        <w:rPr>
          <w:rFonts w:hint="eastAsia" w:eastAsia="仿宋_GB2312"/>
          <w:color w:val="auto"/>
          <w:highlight w:val="none"/>
        </w:rPr>
        <w:t>个国际级海洋牧场示范区。到</w:t>
      </w:r>
      <w:r>
        <w:rPr>
          <w:rFonts w:eastAsia="仿宋_GB2312"/>
          <w:color w:val="auto"/>
          <w:highlight w:val="none"/>
        </w:rPr>
        <w:t>2025</w:t>
      </w:r>
      <w:r>
        <w:rPr>
          <w:rFonts w:hint="eastAsia" w:eastAsia="仿宋_GB2312"/>
          <w:color w:val="auto"/>
          <w:highlight w:val="none"/>
        </w:rPr>
        <w:t>年，</w:t>
      </w:r>
      <w:r>
        <w:rPr>
          <w:rFonts w:hint="eastAsia" w:eastAsia="仿宋_GB2312"/>
          <w:color w:val="auto"/>
          <w:highlight w:val="none"/>
          <w:lang w:eastAsia="zh-CN"/>
        </w:rPr>
        <w:t>畜牧、蔬菜、果品特色</w:t>
      </w:r>
      <w:r>
        <w:rPr>
          <w:rFonts w:hint="eastAsia" w:eastAsia="仿宋_GB2312"/>
          <w:color w:val="auto"/>
          <w:highlight w:val="none"/>
        </w:rPr>
        <w:t>产业产值占农业总产值</w:t>
      </w:r>
      <w:r>
        <w:rPr>
          <w:rFonts w:hint="eastAsia" w:eastAsia="仿宋_GB2312"/>
          <w:color w:val="auto"/>
          <w:highlight w:val="none"/>
          <w:lang w:eastAsia="zh-CN"/>
        </w:rPr>
        <w:t>达</w:t>
      </w:r>
      <w:r>
        <w:rPr>
          <w:rFonts w:hint="eastAsia" w:eastAsia="仿宋_GB2312"/>
          <w:color w:val="auto"/>
          <w:highlight w:val="none"/>
        </w:rPr>
        <w:t>到</w:t>
      </w:r>
      <w:r>
        <w:rPr>
          <w:rFonts w:hint="eastAsia" w:eastAsia="仿宋_GB2312"/>
          <w:color w:val="auto"/>
          <w:highlight w:val="none"/>
          <w:lang w:val="en-US" w:eastAsia="zh-CN"/>
        </w:rPr>
        <w:t>63</w:t>
      </w:r>
      <w:r>
        <w:rPr>
          <w:rFonts w:eastAsia="仿宋_GB2312"/>
          <w:color w:val="auto"/>
          <w:highlight w:val="none"/>
        </w:rPr>
        <w:t>%</w:t>
      </w:r>
      <w:r>
        <w:rPr>
          <w:rFonts w:hint="eastAsia" w:eastAsia="仿宋_GB2312"/>
          <w:color w:val="auto"/>
          <w:highlight w:val="none"/>
        </w:rPr>
        <w:t>，农业产业化经营率提高到</w:t>
      </w:r>
      <w:r>
        <w:rPr>
          <w:rFonts w:eastAsia="仿宋_GB2312"/>
          <w:color w:val="auto"/>
          <w:highlight w:val="none"/>
        </w:rPr>
        <w:t>74%</w:t>
      </w:r>
      <w:r>
        <w:rPr>
          <w:rFonts w:hint="eastAsia" w:eastAsia="仿宋_GB2312"/>
          <w:color w:val="auto"/>
          <w:highlight w:val="none"/>
        </w:rPr>
        <w:t>以上。</w:t>
      </w:r>
    </w:p>
    <w:p w14:paraId="45E0B1BC">
      <w:pPr>
        <w:spacing w:line="560" w:lineRule="exact"/>
        <w:ind w:firstLine="640" w:firstLineChars="200"/>
        <w:outlineLvl w:val="2"/>
        <w:rPr>
          <w:b w:val="0"/>
          <w:bCs w:val="0"/>
          <w:color w:val="auto"/>
          <w:highlight w:val="none"/>
        </w:rPr>
      </w:pPr>
      <w:bookmarkStart w:id="415" w:name="_Toc9495"/>
      <w:bookmarkStart w:id="416" w:name="_Toc22582"/>
      <w:r>
        <w:rPr>
          <w:rFonts w:hint="eastAsia"/>
          <w:b w:val="0"/>
          <w:bCs w:val="0"/>
          <w:color w:val="auto"/>
          <w:highlight w:val="none"/>
        </w:rPr>
        <w:t>（四）提升农业质量效益</w:t>
      </w:r>
      <w:bookmarkEnd w:id="415"/>
      <w:bookmarkEnd w:id="416"/>
    </w:p>
    <w:p w14:paraId="102EFBBF">
      <w:pPr>
        <w:spacing w:line="560" w:lineRule="exact"/>
        <w:ind w:firstLine="640" w:firstLineChars="200"/>
        <w:rPr>
          <w:rFonts w:eastAsia="仿宋_GB2312"/>
          <w:color w:val="auto"/>
          <w:highlight w:val="none"/>
        </w:rPr>
      </w:pPr>
      <w:r>
        <w:rPr>
          <w:rFonts w:hint="eastAsia" w:eastAsia="仿宋_GB2312"/>
          <w:color w:val="auto"/>
          <w:highlight w:val="none"/>
        </w:rPr>
        <w:t>发展都市型农业，大力发展高端设施农业、精品农业，加快建设休闲农业基地、果蔬采摘园、生态休闲农业带，培育建设一批优质粮油、设施果蔬等供应基地，打造一批中央厨房加工企业，建设城市居民休闲度假基地、京津绿色优质农产品供应基地。发展科技农业，完善农业科技创新服务体系，实施农业科技创新推广工程，创新成果转化机制，推进</w:t>
      </w:r>
      <w:r>
        <w:rPr>
          <w:rFonts w:hint="eastAsia" w:eastAsia="仿宋_GB2312"/>
          <w:color w:val="auto"/>
          <w:highlight w:val="none"/>
          <w:lang w:eastAsia="zh-CN"/>
        </w:rPr>
        <w:t>“</w:t>
      </w:r>
      <w:r>
        <w:rPr>
          <w:rFonts w:hint="eastAsia" w:eastAsia="仿宋_GB2312"/>
          <w:color w:val="auto"/>
          <w:highlight w:val="none"/>
        </w:rPr>
        <w:t>互联网</w:t>
      </w:r>
      <w:r>
        <w:rPr>
          <w:rFonts w:eastAsia="仿宋_GB2312"/>
          <w:color w:val="auto"/>
          <w:highlight w:val="none"/>
        </w:rPr>
        <w:t>+</w:t>
      </w:r>
      <w:r>
        <w:rPr>
          <w:rFonts w:hint="eastAsia" w:eastAsia="仿宋_GB2312"/>
          <w:color w:val="auto"/>
          <w:highlight w:val="none"/>
        </w:rPr>
        <w:t>农业</w:t>
      </w:r>
      <w:r>
        <w:rPr>
          <w:rFonts w:hint="eastAsia" w:eastAsia="仿宋_GB2312"/>
          <w:color w:val="auto"/>
          <w:highlight w:val="none"/>
          <w:lang w:eastAsia="zh-CN"/>
        </w:rPr>
        <w:t>”</w:t>
      </w:r>
      <w:r>
        <w:rPr>
          <w:rFonts w:hint="eastAsia" w:eastAsia="仿宋_GB2312"/>
          <w:color w:val="auto"/>
          <w:highlight w:val="none"/>
        </w:rPr>
        <w:t>发展，建设智慧农业，打造农业高新技术产业示范区。发展绿色农业，推进资源利用高效化、投入品减量化、生产过程清洁化、产业链条生态化、废弃物资源化，实施化肥、农药减量增效，不断提升农业可持续发展水平。发展质量农业，推进绿色食品和有机农产品认证，</w:t>
      </w:r>
      <w:r>
        <w:rPr>
          <w:rFonts w:hint="eastAsia" w:eastAsia="仿宋_GB2312"/>
          <w:color w:val="auto"/>
          <w:highlight w:val="none"/>
          <w:lang w:eastAsia="zh-CN"/>
        </w:rPr>
        <w:t>健全农</w:t>
      </w:r>
      <w:r>
        <w:rPr>
          <w:rFonts w:hint="eastAsia" w:eastAsia="仿宋_GB2312"/>
          <w:color w:val="auto"/>
          <w:highlight w:val="none"/>
        </w:rPr>
        <w:t>产品追溯体系建设，提升产品质量安全与公共安全水平。发展品牌农业，实施</w:t>
      </w:r>
      <w:r>
        <w:rPr>
          <w:rFonts w:hint="eastAsia" w:eastAsia="仿宋_GB2312"/>
          <w:color w:val="auto"/>
          <w:highlight w:val="none"/>
          <w:lang w:eastAsia="zh-CN"/>
        </w:rPr>
        <w:t>区域、企业、产品“三位一体”品牌战略</w:t>
      </w:r>
      <w:r>
        <w:rPr>
          <w:rFonts w:hint="eastAsia" w:eastAsia="仿宋_GB2312"/>
          <w:color w:val="auto"/>
          <w:highlight w:val="none"/>
        </w:rPr>
        <w:t>，</w:t>
      </w:r>
      <w:r>
        <w:rPr>
          <w:rFonts w:hint="eastAsia" w:eastAsia="仿宋_GB2312"/>
          <w:color w:val="auto"/>
          <w:highlight w:val="none"/>
          <w:lang w:eastAsia="zh-CN"/>
        </w:rPr>
        <w:t>开展“山海养生福地、秦皇精良农产”品牌引领行动，着力培育一批特色鲜明、质量过硬、信誉可靠的农业品牌，打造一批“秦字号”品牌，推动一批区域品牌、企业品牌进入省和国家序列</w:t>
      </w:r>
      <w:r>
        <w:rPr>
          <w:rFonts w:hint="eastAsia" w:eastAsia="仿宋_GB2312"/>
          <w:color w:val="auto"/>
          <w:highlight w:val="none"/>
        </w:rPr>
        <w:t>。到</w:t>
      </w:r>
      <w:r>
        <w:rPr>
          <w:rFonts w:eastAsia="仿宋_GB2312"/>
          <w:color w:val="auto"/>
          <w:highlight w:val="none"/>
        </w:rPr>
        <w:t>2025</w:t>
      </w:r>
      <w:r>
        <w:rPr>
          <w:rFonts w:hint="eastAsia" w:eastAsia="仿宋_GB2312"/>
          <w:color w:val="auto"/>
          <w:highlight w:val="none"/>
        </w:rPr>
        <w:t>年，农业</w:t>
      </w:r>
      <w:r>
        <w:rPr>
          <w:rFonts w:hint="eastAsia" w:eastAsia="仿宋_GB2312"/>
          <w:color w:val="auto"/>
          <w:highlight w:val="none"/>
          <w:lang w:eastAsia="zh-CN"/>
        </w:rPr>
        <w:t>标准化生产覆盖率</w:t>
      </w:r>
      <w:r>
        <w:rPr>
          <w:rFonts w:hint="eastAsia" w:eastAsia="仿宋_GB2312"/>
          <w:color w:val="auto"/>
          <w:highlight w:val="none"/>
        </w:rPr>
        <w:t>达到</w:t>
      </w:r>
      <w:r>
        <w:rPr>
          <w:rFonts w:eastAsia="仿宋_GB2312"/>
          <w:color w:val="auto"/>
          <w:highlight w:val="none"/>
        </w:rPr>
        <w:t>75%</w:t>
      </w:r>
      <w:r>
        <w:rPr>
          <w:rFonts w:hint="eastAsia" w:eastAsia="仿宋_GB2312"/>
          <w:color w:val="auto"/>
          <w:highlight w:val="none"/>
        </w:rPr>
        <w:t>以上，全市主要农作物良种覆盖率</w:t>
      </w:r>
      <w:r>
        <w:rPr>
          <w:rFonts w:eastAsia="仿宋_GB2312"/>
          <w:color w:val="auto"/>
          <w:highlight w:val="none"/>
        </w:rPr>
        <w:t>98%</w:t>
      </w:r>
      <w:r>
        <w:rPr>
          <w:rFonts w:hint="eastAsia" w:eastAsia="仿宋_GB2312"/>
          <w:color w:val="auto"/>
          <w:highlight w:val="none"/>
        </w:rPr>
        <w:t>以上，畜禽良种覆盖率达到</w:t>
      </w:r>
      <w:r>
        <w:rPr>
          <w:rFonts w:eastAsia="仿宋_GB2312"/>
          <w:color w:val="auto"/>
          <w:highlight w:val="none"/>
        </w:rPr>
        <w:t>90%</w:t>
      </w:r>
      <w:r>
        <w:rPr>
          <w:rFonts w:hint="eastAsia" w:eastAsia="仿宋_GB2312"/>
          <w:color w:val="auto"/>
          <w:highlight w:val="none"/>
        </w:rPr>
        <w:t>以上，农产品质量安全合格率稳定在</w:t>
      </w:r>
      <w:r>
        <w:rPr>
          <w:rFonts w:eastAsia="仿宋_GB2312"/>
          <w:color w:val="auto"/>
          <w:highlight w:val="none"/>
        </w:rPr>
        <w:t>98%</w:t>
      </w:r>
      <w:r>
        <w:rPr>
          <w:rFonts w:hint="eastAsia" w:eastAsia="仿宋_GB2312"/>
          <w:color w:val="auto"/>
          <w:highlight w:val="none"/>
        </w:rPr>
        <w:t>。</w:t>
      </w:r>
    </w:p>
    <w:p w14:paraId="58A1DCD1">
      <w:pPr>
        <w:spacing w:line="560" w:lineRule="exact"/>
        <w:ind w:firstLine="640" w:firstLineChars="200"/>
        <w:outlineLvl w:val="2"/>
        <w:rPr>
          <w:rFonts w:eastAsia="楷体"/>
          <w:b w:val="0"/>
          <w:bCs w:val="0"/>
          <w:color w:val="auto"/>
          <w:kern w:val="0"/>
          <w:highlight w:val="none"/>
        </w:rPr>
      </w:pPr>
      <w:bookmarkStart w:id="417" w:name="_Toc16833"/>
      <w:bookmarkStart w:id="418" w:name="_Toc22278"/>
      <w:bookmarkStart w:id="419" w:name="_Toc21594"/>
      <w:bookmarkStart w:id="420" w:name="_Toc1422"/>
      <w:r>
        <w:rPr>
          <w:rFonts w:hint="eastAsia" w:eastAsia="楷体"/>
          <w:b w:val="0"/>
          <w:bCs w:val="0"/>
          <w:color w:val="auto"/>
          <w:highlight w:val="none"/>
        </w:rPr>
        <w:t>（五）</w:t>
      </w:r>
      <w:r>
        <w:rPr>
          <w:rFonts w:hint="eastAsia" w:eastAsia="楷体"/>
          <w:b w:val="0"/>
          <w:bCs w:val="0"/>
          <w:color w:val="auto"/>
          <w:kern w:val="0"/>
          <w:highlight w:val="none"/>
        </w:rPr>
        <w:t>促进农业一二三产业融合</w:t>
      </w:r>
      <w:bookmarkEnd w:id="417"/>
      <w:r>
        <w:rPr>
          <w:rFonts w:hint="eastAsia" w:eastAsia="楷体"/>
          <w:b w:val="0"/>
          <w:bCs w:val="0"/>
          <w:color w:val="auto"/>
          <w:kern w:val="0"/>
          <w:highlight w:val="none"/>
        </w:rPr>
        <w:t>发展</w:t>
      </w:r>
      <w:bookmarkEnd w:id="418"/>
    </w:p>
    <w:p w14:paraId="27F628CA">
      <w:pPr>
        <w:spacing w:line="560" w:lineRule="exact"/>
        <w:ind w:firstLine="640" w:firstLineChars="200"/>
        <w:rPr>
          <w:rFonts w:eastAsia="仿宋_GB2312"/>
          <w:color w:val="auto"/>
          <w:highlight w:val="none"/>
        </w:rPr>
      </w:pPr>
      <w:r>
        <w:rPr>
          <w:rFonts w:hint="eastAsia" w:eastAsia="仿宋_GB2312"/>
          <w:color w:val="auto"/>
          <w:highlight w:val="none"/>
        </w:rPr>
        <w:t>立足大宗农产品和产业基础，引进和发展农产品加工业，延长产业链、提升价值链。发挥本地农业产业化龙头企业示范带动作用，建设农业产业化联合体，培育</w:t>
      </w:r>
      <w:r>
        <w:rPr>
          <w:rFonts w:eastAsia="仿宋_GB2312"/>
          <w:color w:val="auto"/>
          <w:highlight w:val="none"/>
        </w:rPr>
        <w:t>50</w:t>
      </w:r>
      <w:r>
        <w:rPr>
          <w:rFonts w:hint="eastAsia" w:eastAsia="仿宋_GB2312"/>
          <w:color w:val="auto"/>
          <w:highlight w:val="none"/>
        </w:rPr>
        <w:t>个农产品加工示范企业，全市农产品加工业产值与农林牧渔总产值比达到</w:t>
      </w:r>
      <w:r>
        <w:rPr>
          <w:rFonts w:eastAsia="仿宋_GB2312"/>
          <w:color w:val="auto"/>
          <w:highlight w:val="none"/>
        </w:rPr>
        <w:t>1.1:1</w:t>
      </w:r>
      <w:r>
        <w:rPr>
          <w:rFonts w:hint="eastAsia" w:eastAsia="仿宋_GB2312"/>
          <w:color w:val="auto"/>
          <w:highlight w:val="none"/>
        </w:rPr>
        <w:t>。大力发展农产品电子商务，完善配送及综合服务网络，加快农产品冷链物流体系建设，推进市场流通体系与储运加工布局有机衔接。拓展农业多重功能，提升技术、信息、管理等要素催化能力，充分挖掘农业农村资源价值优势，推动农业与休闲旅游、饮食民俗、文化传承、教育体验、健康养生等产业嫁接融合，积极引导产城、产镇融合，促进产业集群发展，打造</w:t>
      </w:r>
      <w:r>
        <w:rPr>
          <w:rFonts w:eastAsia="仿宋_GB2312"/>
          <w:color w:val="auto"/>
          <w:highlight w:val="none"/>
        </w:rPr>
        <w:t>50</w:t>
      </w:r>
      <w:r>
        <w:rPr>
          <w:rFonts w:hint="eastAsia" w:eastAsia="仿宋_GB2312"/>
          <w:color w:val="auto"/>
          <w:highlight w:val="none"/>
        </w:rPr>
        <w:t>个生态休闲农业示范点，</w:t>
      </w:r>
      <w:r>
        <w:rPr>
          <w:rFonts w:eastAsia="仿宋_GB2312"/>
          <w:color w:val="auto"/>
          <w:highlight w:val="none"/>
        </w:rPr>
        <w:t>8</w:t>
      </w:r>
      <w:r>
        <w:rPr>
          <w:rFonts w:hint="eastAsia" w:eastAsia="仿宋_GB2312"/>
          <w:color w:val="auto"/>
          <w:highlight w:val="none"/>
        </w:rPr>
        <w:t>大休闲农业示范区。大力发展农业新型业态，发展农业生产性服务业，鼓励开展代耕代种代收、大田托管、统防统治、烘干储藏等市场化和专业化服务，推动科技、人文等元素融入农业，发展农田艺术景观、阳台农艺等创意农业，探索农产品个性化定制服务、农业众筹等新型业态。</w:t>
      </w:r>
    </w:p>
    <w:p w14:paraId="54E33EAB">
      <w:pPr>
        <w:spacing w:line="560" w:lineRule="exact"/>
        <w:ind w:firstLine="646"/>
        <w:outlineLvl w:val="1"/>
        <w:rPr>
          <w:rFonts w:eastAsia="黑体"/>
          <w:color w:val="auto"/>
          <w:highlight w:val="none"/>
        </w:rPr>
      </w:pPr>
      <w:bookmarkStart w:id="421" w:name="_Toc2140"/>
      <w:r>
        <w:rPr>
          <w:rFonts w:hint="eastAsia" w:eastAsia="黑体"/>
          <w:color w:val="auto"/>
          <w:highlight w:val="none"/>
        </w:rPr>
        <w:t>二、</w:t>
      </w:r>
      <w:bookmarkEnd w:id="419"/>
      <w:r>
        <w:rPr>
          <w:rFonts w:hint="eastAsia" w:eastAsia="黑体"/>
          <w:color w:val="auto"/>
          <w:highlight w:val="none"/>
        </w:rPr>
        <w:t>实施乡村建设行动</w:t>
      </w:r>
      <w:bookmarkEnd w:id="420"/>
      <w:bookmarkEnd w:id="421"/>
    </w:p>
    <w:p w14:paraId="1AD28C62">
      <w:pPr>
        <w:spacing w:line="560" w:lineRule="exact"/>
        <w:ind w:firstLine="640" w:firstLineChars="200"/>
        <w:rPr>
          <w:rFonts w:eastAsia="仿宋_GB2312"/>
          <w:color w:val="auto"/>
          <w:highlight w:val="none"/>
        </w:rPr>
      </w:pPr>
      <w:r>
        <w:rPr>
          <w:rFonts w:hint="eastAsia" w:eastAsia="仿宋_GB2312"/>
          <w:color w:val="auto"/>
          <w:highlight w:val="none"/>
        </w:rPr>
        <w:t>把乡村建设摆在社会主义现代化建设的重要位置，以农村人居环境整治为突破，以农村基础设施建设为支撑，加快建设生态宜居、乡风文明的社会主义现代化新农村。</w:t>
      </w:r>
    </w:p>
    <w:p w14:paraId="63D02B5B">
      <w:pPr>
        <w:spacing w:line="560" w:lineRule="exact"/>
        <w:ind w:firstLine="640" w:firstLineChars="200"/>
        <w:outlineLvl w:val="2"/>
        <w:rPr>
          <w:b w:val="0"/>
          <w:bCs w:val="0"/>
          <w:color w:val="auto"/>
          <w:highlight w:val="none"/>
        </w:rPr>
      </w:pPr>
      <w:bookmarkStart w:id="422" w:name="_Toc8123"/>
      <w:bookmarkStart w:id="423" w:name="_Toc23412"/>
      <w:r>
        <w:rPr>
          <w:rFonts w:hint="eastAsia"/>
          <w:b w:val="0"/>
          <w:bCs w:val="0"/>
          <w:color w:val="auto"/>
          <w:highlight w:val="none"/>
        </w:rPr>
        <w:t>（一）推进农村人居环境整治</w:t>
      </w:r>
      <w:bookmarkEnd w:id="422"/>
      <w:bookmarkEnd w:id="423"/>
    </w:p>
    <w:p w14:paraId="163670C7">
      <w:pPr>
        <w:spacing w:line="560" w:lineRule="exact"/>
        <w:ind w:firstLine="640" w:firstLineChars="200"/>
        <w:rPr>
          <w:rFonts w:eastAsia="仿宋_GB2312"/>
          <w:color w:val="auto"/>
          <w:highlight w:val="none"/>
        </w:rPr>
      </w:pPr>
      <w:r>
        <w:rPr>
          <w:rFonts w:hint="eastAsia" w:eastAsia="仿宋_GB2312"/>
          <w:color w:val="auto"/>
          <w:highlight w:val="none"/>
        </w:rPr>
        <w:t>持续开展农村生活垃圾专项治理，按照</w:t>
      </w:r>
      <w:r>
        <w:rPr>
          <w:rFonts w:hint="eastAsia" w:eastAsia="仿宋_GB2312"/>
          <w:color w:val="auto"/>
          <w:highlight w:val="none"/>
          <w:lang w:eastAsia="zh-CN"/>
        </w:rPr>
        <w:t>“</w:t>
      </w:r>
      <w:r>
        <w:rPr>
          <w:rFonts w:hint="eastAsia" w:eastAsia="仿宋_GB2312"/>
          <w:color w:val="auto"/>
          <w:highlight w:val="none"/>
        </w:rPr>
        <w:t>户分类、村收集、乡转运、县市集中处理</w:t>
      </w:r>
      <w:r>
        <w:rPr>
          <w:rFonts w:hint="eastAsia" w:eastAsia="仿宋_GB2312"/>
          <w:color w:val="auto"/>
          <w:highlight w:val="none"/>
          <w:lang w:eastAsia="zh-CN"/>
        </w:rPr>
        <w:t>”</w:t>
      </w:r>
      <w:r>
        <w:rPr>
          <w:rFonts w:hint="eastAsia" w:eastAsia="仿宋_GB2312"/>
          <w:color w:val="auto"/>
          <w:highlight w:val="none"/>
        </w:rPr>
        <w:t>的垃圾处理模式，探索推行垃圾处理源头减量化、收集分类化、处理资源化方式，实现收储运处置体系全覆盖并稳定运行。推进农村生活污水治理，因地制宜确定农村生活污水治理技术路线和治理模式，推动城市郊区、交通干线周边村庄建设集中式生活污水处理设施和配套建设污水管网，提升农村生活污水集中处理率。持续推进厕所改造，坚持农村改厕与新型社区建设、污水治理等工作统筹考虑、一并推进，加强村民广场、乡村集市、中小学校、乡镇卫生院等人员密集活动场所卫生公厕建设。加强农村废弃物处理，在具备条件的村庄，建设专业化农业农村废弃物集中处理中心，对畜禽养殖粪污、厕所粪污等废弃物一并处理及资源化利用。大力开展村庄街巷道路硬化，实施道路入户工程，解决村内道路泥泞、村民出行不便等问题。推进村庄绿化、街巷亮化。到</w:t>
      </w:r>
      <w:r>
        <w:rPr>
          <w:rFonts w:eastAsia="仿宋_GB2312"/>
          <w:color w:val="auto"/>
          <w:highlight w:val="none"/>
        </w:rPr>
        <w:t>2025</w:t>
      </w:r>
      <w:r>
        <w:rPr>
          <w:rFonts w:hint="eastAsia" w:eastAsia="仿宋_GB2312"/>
          <w:color w:val="auto"/>
          <w:highlight w:val="none"/>
        </w:rPr>
        <w:t>年，全面实现农村垃圾资源化、减量化、无害化处理，农村卫生厕所普及率</w:t>
      </w:r>
      <w:r>
        <w:rPr>
          <w:rFonts w:eastAsia="仿宋_GB2312"/>
          <w:color w:val="auto"/>
          <w:highlight w:val="none"/>
        </w:rPr>
        <w:t>100%</w:t>
      </w:r>
      <w:r>
        <w:rPr>
          <w:rFonts w:hint="eastAsia" w:eastAsia="仿宋_GB2312"/>
          <w:color w:val="auto"/>
          <w:highlight w:val="none"/>
        </w:rPr>
        <w:t>，厕所粪污无害化处理率达到</w:t>
      </w:r>
      <w:r>
        <w:rPr>
          <w:rFonts w:eastAsia="仿宋_GB2312"/>
          <w:color w:val="auto"/>
          <w:highlight w:val="none"/>
        </w:rPr>
        <w:t>90%</w:t>
      </w:r>
      <w:r>
        <w:rPr>
          <w:rFonts w:hint="eastAsia" w:eastAsia="仿宋_GB2312"/>
          <w:color w:val="auto"/>
          <w:highlight w:val="none"/>
        </w:rPr>
        <w:t>以上，农村污水治理管控全覆盖。</w:t>
      </w:r>
    </w:p>
    <w:p w14:paraId="0F8D3FA8">
      <w:pPr>
        <w:spacing w:line="560" w:lineRule="exact"/>
        <w:ind w:firstLine="640" w:firstLineChars="200"/>
        <w:outlineLvl w:val="2"/>
        <w:rPr>
          <w:b w:val="0"/>
          <w:bCs w:val="0"/>
          <w:color w:val="auto"/>
          <w:highlight w:val="none"/>
        </w:rPr>
      </w:pPr>
      <w:bookmarkStart w:id="424" w:name="_Toc27088"/>
      <w:bookmarkStart w:id="425" w:name="_Toc31086"/>
      <w:r>
        <w:rPr>
          <w:rFonts w:hint="eastAsia"/>
          <w:b w:val="0"/>
          <w:bCs w:val="0"/>
          <w:color w:val="auto"/>
          <w:highlight w:val="none"/>
        </w:rPr>
        <w:t>（二）加强农村基础设施建设</w:t>
      </w:r>
      <w:bookmarkEnd w:id="424"/>
      <w:bookmarkEnd w:id="425"/>
    </w:p>
    <w:p w14:paraId="2BA78614">
      <w:pPr>
        <w:spacing w:line="560" w:lineRule="exact"/>
        <w:ind w:firstLine="640" w:firstLineChars="200"/>
        <w:rPr>
          <w:rFonts w:eastAsia="仿宋_GB2312"/>
          <w:color w:val="auto"/>
          <w:highlight w:val="none"/>
        </w:rPr>
      </w:pPr>
      <w:r>
        <w:rPr>
          <w:rFonts w:hint="eastAsia" w:eastAsia="仿宋_GB2312"/>
          <w:color w:val="auto"/>
          <w:highlight w:val="none"/>
        </w:rPr>
        <w:t>加强农村饮水设施建设，实施农村饮水安全巩固提升工程，完善县域环状供水管网布局，谋划推进一批农村集中连片规模化供水工程项目，推进城乡供水一体化，进一步提高农村自来水普及率、水质达标率、集中供水率、供水保证率，确保农村居民喝上</w:t>
      </w:r>
      <w:r>
        <w:rPr>
          <w:rFonts w:hint="eastAsia" w:eastAsia="仿宋_GB2312"/>
          <w:color w:val="auto"/>
          <w:highlight w:val="none"/>
          <w:lang w:eastAsia="zh-CN"/>
        </w:rPr>
        <w:t>“</w:t>
      </w:r>
      <w:r>
        <w:rPr>
          <w:rFonts w:hint="eastAsia" w:eastAsia="仿宋_GB2312"/>
          <w:color w:val="auto"/>
          <w:highlight w:val="none"/>
        </w:rPr>
        <w:t>稳定水、干净水、放心水</w:t>
      </w:r>
      <w:r>
        <w:rPr>
          <w:rFonts w:hint="eastAsia" w:eastAsia="仿宋_GB2312"/>
          <w:color w:val="auto"/>
          <w:highlight w:val="none"/>
          <w:lang w:eastAsia="zh-CN"/>
        </w:rPr>
        <w:t>”</w:t>
      </w:r>
      <w:r>
        <w:rPr>
          <w:rFonts w:hint="eastAsia" w:eastAsia="仿宋_GB2312"/>
          <w:color w:val="auto"/>
          <w:highlight w:val="none"/>
        </w:rPr>
        <w:t>。改善农村地区用电条件，加强农村电网改造，提升供电可靠性，保障农村生产生活用电需求。优化农村公路路网结构，大力推进</w:t>
      </w:r>
      <w:r>
        <w:rPr>
          <w:rFonts w:hint="eastAsia" w:eastAsia="仿宋_GB2312"/>
          <w:color w:val="auto"/>
          <w:highlight w:val="none"/>
          <w:lang w:eastAsia="zh-CN"/>
        </w:rPr>
        <w:t>“</w:t>
      </w:r>
      <w:r>
        <w:rPr>
          <w:rFonts w:hint="eastAsia" w:eastAsia="仿宋_GB2312"/>
          <w:color w:val="auto"/>
          <w:highlight w:val="none"/>
        </w:rPr>
        <w:t>四好农村路</w:t>
      </w:r>
      <w:r>
        <w:rPr>
          <w:rFonts w:hint="eastAsia" w:eastAsia="仿宋_GB2312"/>
          <w:color w:val="auto"/>
          <w:highlight w:val="none"/>
          <w:lang w:eastAsia="zh-CN"/>
        </w:rPr>
        <w:t>”</w:t>
      </w:r>
      <w:r>
        <w:rPr>
          <w:rFonts w:hint="eastAsia" w:eastAsia="仿宋_GB2312"/>
          <w:color w:val="auto"/>
          <w:highlight w:val="none"/>
        </w:rPr>
        <w:t>建设，确保农村道路通达畅通便捷安全。全面推进</w:t>
      </w:r>
      <w:r>
        <w:rPr>
          <w:rFonts w:hint="eastAsia" w:eastAsia="仿宋_GB2312"/>
          <w:color w:val="auto"/>
          <w:highlight w:val="none"/>
          <w:lang w:eastAsia="zh-CN"/>
        </w:rPr>
        <w:t>“</w:t>
      </w:r>
      <w:r>
        <w:rPr>
          <w:rFonts w:hint="eastAsia" w:eastAsia="仿宋_GB2312"/>
          <w:color w:val="auto"/>
          <w:highlight w:val="none"/>
        </w:rPr>
        <w:t>煤改电</w:t>
      </w:r>
      <w:r>
        <w:rPr>
          <w:rFonts w:hint="eastAsia" w:eastAsia="仿宋_GB2312"/>
          <w:color w:val="auto"/>
          <w:highlight w:val="none"/>
          <w:lang w:eastAsia="zh-CN"/>
        </w:rPr>
        <w:t>”“</w:t>
      </w:r>
      <w:r>
        <w:rPr>
          <w:rFonts w:hint="eastAsia" w:eastAsia="仿宋_GB2312"/>
          <w:color w:val="auto"/>
          <w:highlight w:val="none"/>
        </w:rPr>
        <w:t>煤改气</w:t>
      </w:r>
      <w:r>
        <w:rPr>
          <w:rFonts w:hint="eastAsia" w:eastAsia="仿宋_GB2312"/>
          <w:color w:val="auto"/>
          <w:highlight w:val="none"/>
          <w:lang w:eastAsia="zh-CN"/>
        </w:rPr>
        <w:t>”</w:t>
      </w:r>
      <w:r>
        <w:rPr>
          <w:rFonts w:hint="eastAsia" w:eastAsia="仿宋_GB2312"/>
          <w:color w:val="auto"/>
          <w:highlight w:val="none"/>
        </w:rPr>
        <w:t>和清洁煤推广，积极发展生物质能、地热、太阳能等清洁供暖方式。加快乡村信息基础设施建设，所有行政村基本通达光纤宽带、覆盖第四代移动通信网络信号，推动</w:t>
      </w:r>
      <w:r>
        <w:rPr>
          <w:rFonts w:hint="eastAsia" w:eastAsia="仿宋_GB2312"/>
          <w:color w:val="auto"/>
          <w:highlight w:val="none"/>
          <w:lang w:eastAsia="zh-CN"/>
        </w:rPr>
        <w:t>“</w:t>
      </w:r>
      <w:r>
        <w:rPr>
          <w:rFonts w:hint="eastAsia" w:eastAsia="仿宋_GB2312"/>
          <w:color w:val="auto"/>
          <w:highlight w:val="none"/>
        </w:rPr>
        <w:t>互联网</w:t>
      </w:r>
      <w:r>
        <w:rPr>
          <w:rFonts w:eastAsia="仿宋_GB2312"/>
          <w:color w:val="auto"/>
          <w:highlight w:val="none"/>
        </w:rPr>
        <w:t>+</w:t>
      </w:r>
      <w:r>
        <w:rPr>
          <w:rFonts w:hint="eastAsia" w:eastAsia="仿宋_GB2312"/>
          <w:color w:val="auto"/>
          <w:highlight w:val="none"/>
        </w:rPr>
        <w:t>政务服务</w:t>
      </w:r>
      <w:r>
        <w:rPr>
          <w:rFonts w:hint="eastAsia" w:eastAsia="仿宋_GB2312"/>
          <w:color w:val="auto"/>
          <w:highlight w:val="none"/>
          <w:lang w:eastAsia="zh-CN"/>
        </w:rPr>
        <w:t>”</w:t>
      </w:r>
      <w:r>
        <w:rPr>
          <w:rFonts w:hint="eastAsia" w:eastAsia="仿宋_GB2312"/>
          <w:color w:val="auto"/>
          <w:highlight w:val="none"/>
        </w:rPr>
        <w:t>向乡村延伸覆盖，提高村级综合服务信息化水平。加强农村消防基础设施建设，因地制宜建设消防救援站、市政消火栓、消防通道等消防公共基础设施，改善农村消防安全条件。</w:t>
      </w:r>
    </w:p>
    <w:p w14:paraId="58BE0248">
      <w:pPr>
        <w:spacing w:line="560" w:lineRule="exact"/>
        <w:ind w:firstLine="640" w:firstLineChars="200"/>
        <w:outlineLvl w:val="2"/>
        <w:rPr>
          <w:b w:val="0"/>
          <w:bCs w:val="0"/>
          <w:color w:val="auto"/>
          <w:highlight w:val="none"/>
        </w:rPr>
      </w:pPr>
      <w:bookmarkStart w:id="426" w:name="_Toc29385"/>
      <w:bookmarkStart w:id="427" w:name="_Toc26387"/>
      <w:r>
        <w:rPr>
          <w:rFonts w:hint="eastAsia"/>
          <w:b w:val="0"/>
          <w:bCs w:val="0"/>
          <w:color w:val="auto"/>
          <w:highlight w:val="none"/>
        </w:rPr>
        <w:t>（三）建设新时代美丽乡村</w:t>
      </w:r>
      <w:bookmarkEnd w:id="426"/>
      <w:bookmarkEnd w:id="427"/>
    </w:p>
    <w:p w14:paraId="5FB25BD5">
      <w:pPr>
        <w:spacing w:line="560" w:lineRule="exact"/>
        <w:ind w:firstLine="640" w:firstLineChars="200"/>
        <w:rPr>
          <w:rFonts w:eastAsia="仿宋_GB2312"/>
          <w:color w:val="auto"/>
          <w:highlight w:val="none"/>
        </w:rPr>
      </w:pPr>
      <w:r>
        <w:rPr>
          <w:rFonts w:hint="eastAsia" w:eastAsia="仿宋_GB2312"/>
          <w:color w:val="auto"/>
          <w:highlight w:val="none"/>
        </w:rPr>
        <w:t>根据村庄人口发展态势，科学确定县域村庄布局和规模，合理确定生活设施用地位置、规模和建设标准，完善服务设施配套，提升生活空间宜居水平。制定实施村庄建设规划和历史文化名村、传统村落保护规划，加强乡村风貌整体管控，保持村镇地域特色、文化特色和民俗特色，防止乡村景观城市化。强化新建农房规划管控，抓好海港区和北戴河区农村住房建设试点工作，探索建立解决农村相对贫困人口住房安全问题长效机制。推进乡村振兴示范区建设，坚持全域规划、连片打造，同步推进现代农业园区、农村新型社区、乡村生态功能区建设。推进美丽村庄建设和发展旅游相结合，积极培育打造一批美丽乡村精品示范点、示范片区和示范旅游线路，打造宜居宜业宜游的精品美丽乡村</w:t>
      </w:r>
      <w:r>
        <w:rPr>
          <w:rFonts w:eastAsia="仿宋_GB2312"/>
          <w:color w:val="auto"/>
          <w:highlight w:val="none"/>
        </w:rPr>
        <w:t>200</w:t>
      </w:r>
      <w:r>
        <w:rPr>
          <w:rFonts w:hint="eastAsia" w:eastAsia="仿宋_GB2312"/>
          <w:color w:val="auto"/>
          <w:highlight w:val="none"/>
        </w:rPr>
        <w:t>个以上。</w:t>
      </w:r>
    </w:p>
    <w:p w14:paraId="2A6C97F7">
      <w:pPr>
        <w:spacing w:line="560" w:lineRule="exact"/>
        <w:ind w:firstLine="646"/>
        <w:outlineLvl w:val="1"/>
        <w:rPr>
          <w:rFonts w:eastAsia="黑体"/>
          <w:color w:val="auto"/>
          <w:highlight w:val="none"/>
        </w:rPr>
      </w:pPr>
      <w:bookmarkStart w:id="428" w:name="_Toc32671"/>
      <w:bookmarkStart w:id="429" w:name="_Toc20258"/>
      <w:bookmarkStart w:id="430" w:name="_Toc24412"/>
      <w:r>
        <w:rPr>
          <w:rFonts w:hint="eastAsia" w:eastAsia="黑体"/>
          <w:color w:val="auto"/>
          <w:highlight w:val="none"/>
        </w:rPr>
        <w:t>三、</w:t>
      </w:r>
      <w:bookmarkEnd w:id="428"/>
      <w:r>
        <w:rPr>
          <w:rFonts w:hint="eastAsia" w:eastAsia="黑体"/>
          <w:color w:val="auto"/>
          <w:highlight w:val="none"/>
        </w:rPr>
        <w:t>增强农村发展新活力</w:t>
      </w:r>
      <w:bookmarkEnd w:id="429"/>
      <w:bookmarkEnd w:id="430"/>
    </w:p>
    <w:p w14:paraId="051A018A">
      <w:pPr>
        <w:spacing w:line="560" w:lineRule="exact"/>
        <w:ind w:firstLine="640" w:firstLineChars="200"/>
        <w:rPr>
          <w:rFonts w:eastAsia="仿宋_GB2312"/>
          <w:color w:val="auto"/>
          <w:highlight w:val="none"/>
        </w:rPr>
      </w:pPr>
      <w:r>
        <w:rPr>
          <w:rFonts w:hint="eastAsia" w:eastAsia="仿宋_GB2312"/>
          <w:color w:val="auto"/>
          <w:highlight w:val="none"/>
        </w:rPr>
        <w:t>持续深化农村重点领域改革，加快培育新型农业经营主体，大力推进乡村人才振兴，千方百计提高农民收入。</w:t>
      </w:r>
    </w:p>
    <w:p w14:paraId="2BF4FC48">
      <w:pPr>
        <w:spacing w:line="560" w:lineRule="exact"/>
        <w:ind w:firstLine="640" w:firstLineChars="200"/>
        <w:outlineLvl w:val="2"/>
        <w:rPr>
          <w:b w:val="0"/>
          <w:bCs w:val="0"/>
          <w:color w:val="auto"/>
          <w:highlight w:val="none"/>
        </w:rPr>
      </w:pPr>
      <w:bookmarkStart w:id="431" w:name="_Toc23032"/>
      <w:bookmarkStart w:id="432" w:name="_Toc24203"/>
      <w:r>
        <w:rPr>
          <w:rFonts w:hint="eastAsia"/>
          <w:b w:val="0"/>
          <w:bCs w:val="0"/>
          <w:color w:val="auto"/>
          <w:highlight w:val="none"/>
        </w:rPr>
        <w:t>（一）深化农村重点领域改革</w:t>
      </w:r>
      <w:bookmarkEnd w:id="431"/>
      <w:bookmarkEnd w:id="432"/>
    </w:p>
    <w:p w14:paraId="5E586C6D">
      <w:pPr>
        <w:spacing w:line="560" w:lineRule="exact"/>
        <w:ind w:firstLine="640" w:firstLineChars="200"/>
        <w:rPr>
          <w:rFonts w:eastAsia="仿宋_GB2312"/>
          <w:color w:val="auto"/>
          <w:highlight w:val="none"/>
        </w:rPr>
      </w:pPr>
      <w:r>
        <w:rPr>
          <w:rFonts w:hint="eastAsia" w:eastAsia="仿宋_GB2312"/>
          <w:color w:val="auto"/>
          <w:highlight w:val="none"/>
        </w:rPr>
        <w:t>深化农村土地制度改革。推进第二轮土地承包到期后再延长三十年工作，保持农村土地承包关系稳定并长久不变。健全城乡一体的建设用地市场，积极稳妥实施农村集体经营性建设用地入市制度，建立土地征收公共利益用地认定机制。探索宅基地所有权、资格权、使用权分置实现形式。保障进城落户农民土地承包权、宅基地使用权、集体收益分配权，鼓励依法自愿有偿转让。加快培育家庭农场、农民合作社等新型农业经营主体，发展农业社会化服务组织。深化农村集体产权制度改革，盘活农村资产资源，发展壮大新型农村集体经济。完善农村金融服务体系，创新农村金融服务，发展农村商业保险。</w:t>
      </w:r>
    </w:p>
    <w:p w14:paraId="4789D5EE">
      <w:pPr>
        <w:spacing w:line="560" w:lineRule="exact"/>
        <w:ind w:firstLine="640" w:firstLineChars="200"/>
        <w:outlineLvl w:val="2"/>
        <w:rPr>
          <w:b w:val="0"/>
          <w:bCs w:val="0"/>
          <w:color w:val="auto"/>
          <w:highlight w:val="none"/>
        </w:rPr>
      </w:pPr>
      <w:bookmarkStart w:id="433" w:name="_Toc26062"/>
      <w:bookmarkStart w:id="434" w:name="_Toc2247"/>
      <w:r>
        <w:rPr>
          <w:rFonts w:hint="eastAsia"/>
          <w:b w:val="0"/>
          <w:bCs w:val="0"/>
          <w:color w:val="auto"/>
          <w:highlight w:val="none"/>
        </w:rPr>
        <w:t>（二）多渠道增加农民收入</w:t>
      </w:r>
      <w:bookmarkEnd w:id="433"/>
      <w:bookmarkEnd w:id="434"/>
    </w:p>
    <w:p w14:paraId="5890BF7C">
      <w:pPr>
        <w:spacing w:line="560" w:lineRule="exact"/>
        <w:ind w:firstLine="640" w:firstLineChars="200"/>
        <w:rPr>
          <w:rFonts w:eastAsia="仿宋_GB2312"/>
          <w:color w:val="auto"/>
          <w:highlight w:val="none"/>
        </w:rPr>
      </w:pPr>
      <w:r>
        <w:rPr>
          <w:rFonts w:hint="eastAsia" w:eastAsia="仿宋_GB2312"/>
          <w:color w:val="auto"/>
          <w:highlight w:val="none"/>
        </w:rPr>
        <w:t>落实国家惠农强农政策，大力发展现代农业，让优质安全农产品鼓足农民</w:t>
      </w:r>
      <w:r>
        <w:rPr>
          <w:rFonts w:hint="eastAsia" w:eastAsia="仿宋_GB2312"/>
          <w:color w:val="auto"/>
          <w:highlight w:val="none"/>
          <w:lang w:eastAsia="zh-CN"/>
        </w:rPr>
        <w:t>“</w:t>
      </w:r>
      <w:r>
        <w:rPr>
          <w:rFonts w:hint="eastAsia" w:eastAsia="仿宋_GB2312"/>
          <w:color w:val="auto"/>
          <w:highlight w:val="none"/>
        </w:rPr>
        <w:t>钱袋子</w:t>
      </w:r>
      <w:r>
        <w:rPr>
          <w:rFonts w:hint="eastAsia" w:eastAsia="仿宋_GB2312"/>
          <w:color w:val="auto"/>
          <w:highlight w:val="none"/>
          <w:lang w:eastAsia="zh-CN"/>
        </w:rPr>
        <w:t>”</w:t>
      </w:r>
      <w:r>
        <w:rPr>
          <w:rFonts w:hint="eastAsia" w:eastAsia="仿宋_GB2312"/>
          <w:color w:val="auto"/>
          <w:highlight w:val="none"/>
        </w:rPr>
        <w:t>。积极推动农业适度规模经营，大力培育新型经营主体，提高劳动生产率和土地产出率，提升农产品市场竞争力，让农民获得规模效益收入。充分挖掘生产、加工、流通等环节的增收潜力，积极发展农产品精深加工，拉长产业链条，打造供应链条，让农民从加工和流通环节多多受益。变农业生产资源为景观资源，大力发展创意农业、休闲农业、乡村旅游，让农民尽享农业多功能带来的收益。抓住农村产权制度改革的契机，增加农民土地流转收益、集体资产股份分红收益、土地增值收益。强化乡村就业服务，促进城乡就业供求信息有效对接，促进农村劳动力转移就业，增加外出务工收入。</w:t>
      </w:r>
    </w:p>
    <w:p w14:paraId="568A886D">
      <w:pPr>
        <w:spacing w:line="560" w:lineRule="exact"/>
        <w:ind w:firstLine="640" w:firstLineChars="200"/>
        <w:outlineLvl w:val="2"/>
        <w:rPr>
          <w:b w:val="0"/>
          <w:bCs w:val="0"/>
          <w:color w:val="auto"/>
          <w:highlight w:val="none"/>
        </w:rPr>
      </w:pPr>
      <w:bookmarkStart w:id="435" w:name="_Toc19138"/>
      <w:bookmarkStart w:id="436" w:name="_Toc16786"/>
      <w:r>
        <w:rPr>
          <w:rFonts w:hint="eastAsia"/>
          <w:b w:val="0"/>
          <w:bCs w:val="0"/>
          <w:color w:val="auto"/>
          <w:highlight w:val="none"/>
        </w:rPr>
        <w:t>（三）推动乡村人才振兴</w:t>
      </w:r>
      <w:bookmarkEnd w:id="435"/>
      <w:bookmarkEnd w:id="436"/>
    </w:p>
    <w:p w14:paraId="4004AF34">
      <w:pPr>
        <w:spacing w:line="560" w:lineRule="exact"/>
        <w:ind w:firstLine="640" w:firstLineChars="200"/>
        <w:rPr>
          <w:rFonts w:eastAsia="仿宋_GB2312"/>
          <w:color w:val="auto"/>
          <w:highlight w:val="none"/>
        </w:rPr>
      </w:pPr>
      <w:r>
        <w:rPr>
          <w:rFonts w:hint="eastAsia" w:eastAsia="仿宋_GB2312"/>
          <w:color w:val="auto"/>
          <w:highlight w:val="none"/>
        </w:rPr>
        <w:t>积极开展高素质农民培训工程，建立健全以</w:t>
      </w:r>
      <w:r>
        <w:rPr>
          <w:rFonts w:hint="eastAsia" w:eastAsia="仿宋_GB2312"/>
          <w:color w:val="auto"/>
          <w:highlight w:val="none"/>
          <w:lang w:eastAsia="zh-CN"/>
        </w:rPr>
        <w:t>“</w:t>
      </w:r>
      <w:r>
        <w:rPr>
          <w:rFonts w:hint="eastAsia" w:eastAsia="仿宋_GB2312"/>
          <w:color w:val="auto"/>
          <w:highlight w:val="none"/>
        </w:rPr>
        <w:t>教育培训、认定管理、定向扶持</w:t>
      </w:r>
      <w:r>
        <w:rPr>
          <w:rFonts w:hint="eastAsia" w:eastAsia="仿宋_GB2312"/>
          <w:color w:val="auto"/>
          <w:highlight w:val="none"/>
          <w:lang w:eastAsia="zh-CN"/>
        </w:rPr>
        <w:t>”</w:t>
      </w:r>
      <w:r>
        <w:rPr>
          <w:rFonts w:hint="eastAsia" w:eastAsia="仿宋_GB2312"/>
          <w:color w:val="auto"/>
          <w:highlight w:val="none"/>
        </w:rPr>
        <w:t>为主要内容的高素质农民培育服务体系。育强农村技能人才队伍，依托京津和省内教育资源和农业科技创新平台，实施</w:t>
      </w:r>
      <w:r>
        <w:rPr>
          <w:rFonts w:hint="eastAsia" w:eastAsia="仿宋_GB2312"/>
          <w:color w:val="auto"/>
          <w:highlight w:val="none"/>
          <w:lang w:eastAsia="zh-CN"/>
        </w:rPr>
        <w:t>“</w:t>
      </w:r>
      <w:r>
        <w:rPr>
          <w:rFonts w:hint="eastAsia" w:eastAsia="仿宋_GB2312"/>
          <w:color w:val="auto"/>
          <w:highlight w:val="none"/>
        </w:rPr>
        <w:t>农村实用人才培训计划</w:t>
      </w:r>
      <w:r>
        <w:rPr>
          <w:rFonts w:hint="eastAsia" w:eastAsia="仿宋_GB2312"/>
          <w:color w:val="auto"/>
          <w:highlight w:val="none"/>
          <w:lang w:eastAsia="zh-CN"/>
        </w:rPr>
        <w:t>”“</w:t>
      </w:r>
      <w:r>
        <w:rPr>
          <w:rFonts w:hint="eastAsia" w:eastAsia="仿宋_GB2312"/>
          <w:color w:val="auto"/>
          <w:highlight w:val="none"/>
        </w:rPr>
        <w:t>乡村工匠</w:t>
      </w:r>
      <w:r>
        <w:rPr>
          <w:rFonts w:hint="eastAsia" w:eastAsia="仿宋_GB2312"/>
          <w:color w:val="auto"/>
          <w:highlight w:val="none"/>
          <w:lang w:eastAsia="zh-CN"/>
        </w:rPr>
        <w:t>”</w:t>
      </w:r>
      <w:r>
        <w:rPr>
          <w:rFonts w:hint="eastAsia" w:eastAsia="仿宋_GB2312"/>
          <w:color w:val="auto"/>
          <w:highlight w:val="none"/>
        </w:rPr>
        <w:t>培育工程，培育一批有一技之长、带动能力强的</w:t>
      </w:r>
      <w:r>
        <w:rPr>
          <w:rFonts w:hint="eastAsia" w:eastAsia="仿宋_GB2312"/>
          <w:color w:val="auto"/>
          <w:highlight w:val="none"/>
          <w:lang w:eastAsia="zh-CN"/>
        </w:rPr>
        <w:t>“</w:t>
      </w:r>
      <w:r>
        <w:rPr>
          <w:rFonts w:hint="eastAsia" w:eastAsia="仿宋_GB2312"/>
          <w:color w:val="auto"/>
          <w:highlight w:val="none"/>
        </w:rPr>
        <w:t>土专家</w:t>
      </w:r>
      <w:r>
        <w:rPr>
          <w:rFonts w:hint="eastAsia" w:eastAsia="仿宋_GB2312"/>
          <w:color w:val="auto"/>
          <w:highlight w:val="none"/>
          <w:lang w:eastAsia="zh-CN"/>
        </w:rPr>
        <w:t>”“</w:t>
      </w:r>
      <w:r>
        <w:rPr>
          <w:rFonts w:hint="eastAsia" w:eastAsia="仿宋_GB2312"/>
          <w:color w:val="auto"/>
          <w:highlight w:val="none"/>
        </w:rPr>
        <w:t>田秀才</w:t>
      </w:r>
      <w:r>
        <w:rPr>
          <w:rFonts w:hint="eastAsia" w:eastAsia="仿宋_GB2312"/>
          <w:color w:val="auto"/>
          <w:highlight w:val="none"/>
          <w:lang w:eastAsia="zh-CN"/>
        </w:rPr>
        <w:t>”</w:t>
      </w:r>
      <w:r>
        <w:rPr>
          <w:rFonts w:hint="eastAsia" w:eastAsia="仿宋_GB2312"/>
          <w:color w:val="auto"/>
          <w:highlight w:val="none"/>
        </w:rPr>
        <w:t>。建强农村基层管理和社会事业人才队伍，选优配强村党组织带头人，实施</w:t>
      </w:r>
      <w:r>
        <w:rPr>
          <w:rFonts w:hint="eastAsia" w:eastAsia="仿宋_GB2312"/>
          <w:color w:val="auto"/>
          <w:highlight w:val="none"/>
          <w:lang w:eastAsia="zh-CN"/>
        </w:rPr>
        <w:t>“</w:t>
      </w:r>
      <w:r>
        <w:rPr>
          <w:rFonts w:hint="eastAsia" w:eastAsia="仿宋_GB2312"/>
          <w:color w:val="auto"/>
          <w:highlight w:val="none"/>
        </w:rPr>
        <w:t>文化人才提升工程</w:t>
      </w:r>
      <w:r>
        <w:rPr>
          <w:rFonts w:hint="eastAsia" w:eastAsia="仿宋_GB2312"/>
          <w:color w:val="auto"/>
          <w:highlight w:val="none"/>
          <w:lang w:eastAsia="zh-CN"/>
        </w:rPr>
        <w:t>”“</w:t>
      </w:r>
      <w:r>
        <w:rPr>
          <w:rFonts w:hint="eastAsia" w:eastAsia="仿宋_GB2312"/>
          <w:color w:val="auto"/>
          <w:highlight w:val="none"/>
        </w:rPr>
        <w:t>名师传艺工程</w:t>
      </w:r>
      <w:r>
        <w:rPr>
          <w:rFonts w:hint="eastAsia" w:eastAsia="仿宋_GB2312"/>
          <w:color w:val="auto"/>
          <w:highlight w:val="none"/>
          <w:lang w:eastAsia="zh-CN"/>
        </w:rPr>
        <w:t>”</w:t>
      </w:r>
      <w:r>
        <w:rPr>
          <w:rFonts w:hint="eastAsia" w:eastAsia="仿宋_GB2312"/>
          <w:color w:val="auto"/>
          <w:highlight w:val="none"/>
        </w:rPr>
        <w:t>，推动城镇学校优秀教师、校长向乡村学校流动，加强</w:t>
      </w:r>
      <w:r>
        <w:rPr>
          <w:rFonts w:hint="eastAsia" w:eastAsia="仿宋_GB2312"/>
          <w:color w:val="auto"/>
          <w:highlight w:val="none"/>
          <w:lang w:eastAsia="zh-CN"/>
        </w:rPr>
        <w:t>“</w:t>
      </w:r>
      <w:r>
        <w:rPr>
          <w:rFonts w:hint="eastAsia" w:eastAsia="仿宋_GB2312"/>
          <w:color w:val="auto"/>
          <w:highlight w:val="none"/>
        </w:rPr>
        <w:t>农村订单定向医学生</w:t>
      </w:r>
      <w:r>
        <w:rPr>
          <w:rFonts w:hint="eastAsia" w:eastAsia="仿宋_GB2312"/>
          <w:color w:val="auto"/>
          <w:highlight w:val="none"/>
          <w:lang w:eastAsia="zh-CN"/>
        </w:rPr>
        <w:t>”</w:t>
      </w:r>
      <w:r>
        <w:rPr>
          <w:rFonts w:hint="eastAsia" w:eastAsia="仿宋_GB2312"/>
          <w:color w:val="auto"/>
          <w:highlight w:val="none"/>
        </w:rPr>
        <w:t>和基层卫生人才本土化免费培养。引导科技人才和青年人才下乡创新创业，鼓励各类科技人员和事业单位技术岗位人员到农村离岗创业和兼职入股创业，吸纳高校毕业生到农村基层创业就业。鼓励引导原籍企业家、专家学者、经济文化能人等群体，以投资兴业、援建项目、助学助教、捐资捐物、法律服务等多种方式反哺故里、报效乡梓。</w:t>
      </w:r>
    </w:p>
    <w:p w14:paraId="4DC8087F">
      <w:pPr>
        <w:spacing w:line="560" w:lineRule="exact"/>
        <w:ind w:firstLine="646"/>
        <w:outlineLvl w:val="1"/>
        <w:rPr>
          <w:rFonts w:eastAsia="黑体"/>
          <w:color w:val="auto"/>
          <w:highlight w:val="none"/>
        </w:rPr>
      </w:pPr>
      <w:bookmarkStart w:id="437" w:name="_Toc20507"/>
      <w:bookmarkStart w:id="438" w:name="_Toc28158"/>
      <w:r>
        <w:rPr>
          <w:rFonts w:hint="eastAsia" w:eastAsia="黑体"/>
          <w:color w:val="auto"/>
          <w:highlight w:val="none"/>
        </w:rPr>
        <w:t>四、巩固拓展脱贫攻坚成果</w:t>
      </w:r>
      <w:bookmarkEnd w:id="437"/>
      <w:bookmarkEnd w:id="438"/>
    </w:p>
    <w:p w14:paraId="7CA5D03F">
      <w:pPr>
        <w:spacing w:line="560" w:lineRule="exact"/>
        <w:ind w:firstLine="640" w:firstLineChars="200"/>
        <w:rPr>
          <w:rFonts w:hint="eastAsia" w:eastAsia="仿宋_GB2312"/>
          <w:color w:val="auto"/>
          <w:highlight w:val="none"/>
          <w:lang w:eastAsia="zh-CN"/>
        </w:rPr>
      </w:pPr>
      <w:r>
        <w:rPr>
          <w:rFonts w:hint="eastAsia" w:eastAsia="仿宋_GB2312"/>
          <w:color w:val="auto"/>
          <w:highlight w:val="none"/>
          <w:lang w:eastAsia="zh-CN"/>
        </w:rPr>
        <w:t>建立健全</w:t>
      </w:r>
      <w:r>
        <w:rPr>
          <w:rFonts w:hint="eastAsia" w:eastAsia="仿宋_GB2312"/>
          <w:color w:val="auto"/>
          <w:highlight w:val="none"/>
        </w:rPr>
        <w:t>巩固拓展脱贫攻坚成果</w:t>
      </w:r>
      <w:r>
        <w:rPr>
          <w:rFonts w:hint="eastAsia" w:eastAsia="仿宋_GB2312"/>
          <w:color w:val="auto"/>
          <w:highlight w:val="none"/>
          <w:lang w:eastAsia="zh-CN"/>
        </w:rPr>
        <w:t>长效机制。保持主要帮扶政策总体稳定，过渡期内严格落实“四个不摘”要求，继续保持兜底救助类政策稳定，落实好教育、医疗、住房、饮水等普惠性保障政策，优化产业就业等发展类政策。健全防止返贫动态监测和帮扶机制，扎实</w:t>
      </w:r>
      <w:r>
        <w:rPr>
          <w:rFonts w:hint="eastAsia" w:eastAsia="仿宋_GB2312"/>
          <w:color w:val="auto"/>
          <w:highlight w:val="none"/>
        </w:rPr>
        <w:t>推进精准脱贫大数据平台建设，</w:t>
      </w:r>
      <w:r>
        <w:rPr>
          <w:rFonts w:hint="eastAsia" w:eastAsia="仿宋_GB2312"/>
          <w:color w:val="auto"/>
          <w:highlight w:val="none"/>
          <w:lang w:eastAsia="zh-CN"/>
        </w:rPr>
        <w:t>建立健全易返贫致贫人口快速发现和响应机制，对脱贫不稳定户、边缘易致贫户等重点群体和对象，开展重点监测、定期检查，动态管理，分层分类及时纳入帮扶政策范围，实行动态清零。巩固“两不愁三保障”成果，健全控辍保学工作机制，落实分类资助参保政策，有效防范因病返贫致贫风险，建立脱贫人口住房安全动态监测机制，保障低收入人口基本住房安全。做好易地扶贫搬迁后续扶持工作，继续推进扶贫产业园区和扶贫项目建设，加强扶贫项目资产管理和监督，完善安置区配套设施，提高安置区社区管理服务水平，确保搬迁群众稳得住、有就业、逐步能致富。</w:t>
      </w:r>
    </w:p>
    <w:p w14:paraId="4D2BA43E">
      <w:pPr>
        <w:spacing w:line="560" w:lineRule="exact"/>
        <w:ind w:firstLine="640" w:firstLineChars="200"/>
        <w:rPr>
          <w:rFonts w:hint="eastAsia" w:eastAsia="仿宋_GB2312"/>
          <w:color w:val="auto"/>
          <w:highlight w:val="none"/>
          <w:lang w:eastAsia="zh-CN"/>
        </w:rPr>
      </w:pPr>
      <w:r>
        <w:rPr>
          <w:rFonts w:hint="eastAsia" w:eastAsia="仿宋_GB2312"/>
          <w:color w:val="auto"/>
          <w:highlight w:val="none"/>
          <w:lang w:eastAsia="zh-CN"/>
        </w:rPr>
        <w:t>做好巩固脱贫攻坚成果与乡村振兴有效衔接，</w:t>
      </w:r>
      <w:r>
        <w:rPr>
          <w:rFonts w:hint="eastAsia" w:eastAsia="仿宋_GB2312"/>
          <w:color w:val="auto"/>
          <w:highlight w:val="none"/>
        </w:rPr>
        <w:t>加大产业扶持力度，结合各县产业优势，</w:t>
      </w:r>
      <w:r>
        <w:rPr>
          <w:rFonts w:hint="eastAsia" w:eastAsia="仿宋_GB2312"/>
          <w:color w:val="auto"/>
          <w:highlight w:val="none"/>
          <w:lang w:eastAsia="zh-CN"/>
        </w:rPr>
        <w:t>加快发展乡村特色产业，</w:t>
      </w:r>
      <w:r>
        <w:rPr>
          <w:rFonts w:hint="eastAsia" w:eastAsia="仿宋_GB2312"/>
          <w:color w:val="auto"/>
          <w:highlight w:val="none"/>
        </w:rPr>
        <w:t>打造</w:t>
      </w:r>
      <w:r>
        <w:rPr>
          <w:rFonts w:hint="eastAsia" w:eastAsia="仿宋_GB2312"/>
          <w:color w:val="auto"/>
          <w:highlight w:val="none"/>
          <w:lang w:eastAsia="zh-CN"/>
        </w:rPr>
        <w:t>“</w:t>
      </w:r>
      <w:r>
        <w:rPr>
          <w:rFonts w:hint="eastAsia" w:eastAsia="仿宋_GB2312"/>
          <w:color w:val="auto"/>
          <w:highlight w:val="none"/>
        </w:rPr>
        <w:t>新型经营主体</w:t>
      </w:r>
      <w:r>
        <w:rPr>
          <w:rFonts w:eastAsia="仿宋_GB2312"/>
          <w:color w:val="auto"/>
          <w:highlight w:val="none"/>
        </w:rPr>
        <w:t>+</w:t>
      </w:r>
      <w:r>
        <w:rPr>
          <w:rFonts w:hint="eastAsia" w:eastAsia="仿宋_GB2312"/>
          <w:color w:val="auto"/>
          <w:highlight w:val="none"/>
        </w:rPr>
        <w:t>基地</w:t>
      </w:r>
      <w:r>
        <w:rPr>
          <w:rFonts w:eastAsia="仿宋_GB2312"/>
          <w:color w:val="auto"/>
          <w:highlight w:val="none"/>
        </w:rPr>
        <w:t>+</w:t>
      </w:r>
      <w:r>
        <w:rPr>
          <w:rFonts w:hint="eastAsia" w:eastAsia="仿宋_GB2312"/>
          <w:color w:val="auto"/>
          <w:highlight w:val="none"/>
        </w:rPr>
        <w:t>贫困户</w:t>
      </w:r>
      <w:r>
        <w:rPr>
          <w:rFonts w:hint="eastAsia" w:eastAsia="仿宋_GB2312"/>
          <w:color w:val="auto"/>
          <w:highlight w:val="none"/>
          <w:lang w:eastAsia="zh-CN"/>
        </w:rPr>
        <w:t>”</w:t>
      </w:r>
      <w:r>
        <w:rPr>
          <w:rFonts w:hint="eastAsia" w:eastAsia="仿宋_GB2312"/>
          <w:color w:val="auto"/>
          <w:highlight w:val="none"/>
        </w:rPr>
        <w:t>的发展模式，</w:t>
      </w:r>
      <w:r>
        <w:rPr>
          <w:rFonts w:hint="eastAsia" w:eastAsia="仿宋_GB2312"/>
          <w:color w:val="auto"/>
          <w:highlight w:val="none"/>
          <w:lang w:eastAsia="zh-CN"/>
        </w:rPr>
        <w:t>促进脱贫人口稳定就业。持续改善贫困乡村基础设施条件，提升公共服务水平。健全农村低收入人口常态化帮扶机制，加强农村低收入人口监测，健全风险预警、研判和处置机制，分层分类实施社会救助。</w:t>
      </w:r>
    </w:p>
    <w:p w14:paraId="0006AF32">
      <w:pPr>
        <w:pStyle w:val="9"/>
        <w:rPr>
          <w:rFonts w:hint="eastAsia"/>
          <w:color w:val="auto"/>
          <w:lang w:eastAsia="zh-CN"/>
        </w:rPr>
      </w:pPr>
    </w:p>
    <w:bookmarkEnd w:id="403"/>
    <w:p w14:paraId="2E018536">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jc w:val="center"/>
        <w:textAlignment w:val="auto"/>
        <w:outlineLvl w:val="0"/>
        <w:rPr>
          <w:rFonts w:eastAsia="宋体"/>
          <w:b/>
          <w:color w:val="auto"/>
          <w:sz w:val="36"/>
          <w:szCs w:val="36"/>
          <w:highlight w:val="none"/>
        </w:rPr>
      </w:pPr>
      <w:bookmarkStart w:id="439" w:name="_Toc30240"/>
      <w:bookmarkStart w:id="440" w:name="_Toc12552"/>
      <w:bookmarkStart w:id="441" w:name="_Toc30566"/>
      <w:r>
        <w:rPr>
          <w:rFonts w:hint="eastAsia" w:eastAsia="宋体"/>
          <w:b/>
          <w:color w:val="auto"/>
          <w:sz w:val="36"/>
          <w:szCs w:val="36"/>
          <w:highlight w:val="none"/>
        </w:rPr>
        <w:t>第八章</w:t>
      </w:r>
      <w:r>
        <w:rPr>
          <w:rFonts w:eastAsia="宋体"/>
          <w:b/>
          <w:color w:val="auto"/>
          <w:sz w:val="36"/>
          <w:szCs w:val="36"/>
          <w:highlight w:val="none"/>
        </w:rPr>
        <w:t xml:space="preserve"> </w:t>
      </w:r>
      <w:r>
        <w:rPr>
          <w:rFonts w:hint="eastAsia" w:eastAsia="宋体"/>
          <w:b/>
          <w:color w:val="auto"/>
          <w:sz w:val="36"/>
          <w:szCs w:val="36"/>
          <w:highlight w:val="none"/>
        </w:rPr>
        <w:t>优化国土空间布局，推进一流国际旅游城市</w:t>
      </w:r>
      <w:r>
        <w:rPr>
          <w:rFonts w:hint="eastAsia" w:eastAsia="宋体"/>
          <w:b/>
          <w:color w:val="auto"/>
          <w:sz w:val="36"/>
          <w:szCs w:val="36"/>
          <w:highlight w:val="none"/>
          <w:lang w:val="en-US" w:eastAsia="zh-CN"/>
        </w:rPr>
        <w:t xml:space="preserve">   </w:t>
      </w:r>
      <w:r>
        <w:rPr>
          <w:rFonts w:hint="eastAsia" w:eastAsia="宋体"/>
          <w:b/>
          <w:color w:val="auto"/>
          <w:sz w:val="36"/>
          <w:szCs w:val="36"/>
          <w:highlight w:val="none"/>
        </w:rPr>
        <w:t>和新型城镇化建设</w:t>
      </w:r>
      <w:bookmarkEnd w:id="439"/>
      <w:bookmarkEnd w:id="440"/>
    </w:p>
    <w:p w14:paraId="5CA1F562">
      <w:pPr>
        <w:spacing w:line="560" w:lineRule="exact"/>
        <w:ind w:firstLine="640" w:firstLineChars="200"/>
        <w:rPr>
          <w:rFonts w:eastAsia="仿宋_GB2312"/>
          <w:color w:val="auto"/>
          <w:highlight w:val="none"/>
        </w:rPr>
      </w:pPr>
      <w:r>
        <w:rPr>
          <w:rFonts w:hint="eastAsia" w:eastAsia="仿宋_GB2312"/>
          <w:color w:val="auto"/>
          <w:highlight w:val="none"/>
        </w:rPr>
        <w:t>深入落实区域协调发展战略和主体功能区战略，以绣花功夫建设管理城市，加快推进以人为核心的新型城镇化，统筹城市规划、建设、管理，合理确定城市规模、人口密度、空间结构，促进城市和小城镇协调发展，加快建设一流国际旅游城市。</w:t>
      </w:r>
    </w:p>
    <w:p w14:paraId="6A9AD15F">
      <w:pPr>
        <w:spacing w:line="560" w:lineRule="exact"/>
        <w:ind w:firstLine="646"/>
        <w:outlineLvl w:val="1"/>
        <w:rPr>
          <w:rFonts w:eastAsia="黑体"/>
          <w:color w:val="auto"/>
          <w:highlight w:val="none"/>
        </w:rPr>
      </w:pPr>
      <w:bookmarkStart w:id="442" w:name="_Toc26864"/>
      <w:bookmarkStart w:id="443" w:name="_Toc10702"/>
      <w:r>
        <w:rPr>
          <w:rFonts w:hint="eastAsia" w:eastAsia="黑体"/>
          <w:color w:val="auto"/>
          <w:highlight w:val="none"/>
        </w:rPr>
        <w:t>一、</w:t>
      </w:r>
      <w:bookmarkEnd w:id="442"/>
      <w:bookmarkStart w:id="444" w:name="_Toc5824"/>
      <w:bookmarkStart w:id="445" w:name="_Toc6107"/>
      <w:bookmarkStart w:id="446" w:name="_Toc22239"/>
      <w:bookmarkStart w:id="447" w:name="_Toc16441"/>
      <w:bookmarkStart w:id="448" w:name="_Toc27311"/>
      <w:bookmarkStart w:id="449" w:name="_Toc28754"/>
      <w:bookmarkStart w:id="450" w:name="_Toc3580"/>
      <w:bookmarkStart w:id="451" w:name="_Toc3775"/>
      <w:r>
        <w:rPr>
          <w:rFonts w:hint="eastAsia" w:eastAsia="黑体"/>
          <w:color w:val="auto"/>
          <w:highlight w:val="none"/>
        </w:rPr>
        <w:t>优化国土空间布局</w:t>
      </w:r>
      <w:bookmarkEnd w:id="443"/>
      <w:bookmarkEnd w:id="444"/>
      <w:bookmarkEnd w:id="445"/>
      <w:bookmarkEnd w:id="446"/>
      <w:bookmarkEnd w:id="447"/>
      <w:bookmarkEnd w:id="448"/>
      <w:bookmarkEnd w:id="449"/>
      <w:bookmarkEnd w:id="450"/>
      <w:bookmarkEnd w:id="451"/>
    </w:p>
    <w:p w14:paraId="6D7FDB4F">
      <w:pPr>
        <w:spacing w:line="560" w:lineRule="exact"/>
        <w:ind w:firstLine="640" w:firstLineChars="200"/>
        <w:rPr>
          <w:rFonts w:eastAsia="仿宋_GB2312"/>
          <w:color w:val="auto"/>
          <w:highlight w:val="none"/>
        </w:rPr>
      </w:pPr>
      <w:r>
        <w:rPr>
          <w:rFonts w:hint="eastAsia" w:eastAsia="仿宋_GB2312"/>
          <w:color w:val="auto"/>
          <w:highlight w:val="none"/>
        </w:rPr>
        <w:t>建立和完善国土空间规划体系，优化区域空间发展格局，立足资源环境承载能力，优化生产、生活、生态空间，优化重大基础设施、重大生产力和公共资源布局，推动形成主体功能明显、优势互补、高质量发展的国土空间新格局。</w:t>
      </w:r>
    </w:p>
    <w:p w14:paraId="6D372843">
      <w:pPr>
        <w:spacing w:line="560" w:lineRule="exact"/>
        <w:ind w:firstLine="640" w:firstLineChars="200"/>
        <w:outlineLvl w:val="2"/>
        <w:rPr>
          <w:b w:val="0"/>
          <w:bCs w:val="0"/>
          <w:color w:val="auto"/>
          <w:highlight w:val="none"/>
        </w:rPr>
      </w:pPr>
      <w:bookmarkStart w:id="452" w:name="_Toc1472"/>
      <w:bookmarkStart w:id="453" w:name="_Toc30281"/>
      <w:bookmarkStart w:id="454" w:name="_Toc4096"/>
      <w:bookmarkStart w:id="455" w:name="_Toc17432"/>
      <w:bookmarkStart w:id="456" w:name="_Toc4902"/>
      <w:bookmarkStart w:id="457" w:name="_Toc2818"/>
      <w:bookmarkStart w:id="458" w:name="_Toc26936"/>
      <w:r>
        <w:rPr>
          <w:rFonts w:hint="eastAsia"/>
          <w:b w:val="0"/>
          <w:bCs w:val="0"/>
          <w:color w:val="auto"/>
          <w:highlight w:val="none"/>
        </w:rPr>
        <w:t>（一）优化国土空间开发保护格局</w:t>
      </w:r>
      <w:bookmarkEnd w:id="452"/>
      <w:bookmarkEnd w:id="453"/>
      <w:bookmarkEnd w:id="454"/>
      <w:bookmarkEnd w:id="455"/>
      <w:bookmarkEnd w:id="456"/>
      <w:bookmarkEnd w:id="457"/>
      <w:bookmarkEnd w:id="458"/>
    </w:p>
    <w:p w14:paraId="562EA868">
      <w:pPr>
        <w:spacing w:line="560" w:lineRule="exact"/>
        <w:ind w:firstLine="640" w:firstLineChars="200"/>
        <w:rPr>
          <w:rFonts w:eastAsia="仿宋_GB2312"/>
          <w:color w:val="auto"/>
          <w:highlight w:val="none"/>
        </w:rPr>
      </w:pPr>
      <w:r>
        <w:rPr>
          <w:rFonts w:hint="eastAsia" w:eastAsia="仿宋_GB2312"/>
          <w:color w:val="auto"/>
          <w:highlight w:val="none"/>
        </w:rPr>
        <w:t>落实主体功能区规划，合理控制国土开发强度，统筹全域生态空间、农业空间、城镇空间、产业空间发展，强化三大板块联动发展，尊重本底条件和发展差异，因地制宜推进高质量发展。山林生态涵养板块，包括青龙满族自治县、海港区北部和抚宁区北部，以生态环境保护与修复为重点，控制城镇发展规模，设置严格的产业负面清单。平原城乡协调发展板块，包括昌黎县、卢龙县等平原及浅山区发展区域，以促进城乡融合、产业融合发展为重点，保护基本农田，提高集聚能力和建设水平。沿海优化统筹发展板块，包括海港区南部、山海关区、北戴河区、抚宁区南部、秦皇岛经济技术开发区和北戴河新区，以及海域部分，是陆海统筹发展的重点区域，以完善陆海功能、提高综合竞争力为重点，强化海洋生态保护与修复，大力发展海洋经济</w:t>
      </w:r>
      <w:r>
        <w:rPr>
          <w:rFonts w:hint="eastAsia" w:eastAsia="仿宋_GB2312"/>
          <w:color w:val="auto"/>
          <w:highlight w:val="none"/>
          <w:lang w:eastAsia="zh-CN"/>
        </w:rPr>
        <w:t>，</w:t>
      </w:r>
      <w:r>
        <w:rPr>
          <w:rFonts w:hint="eastAsia" w:eastAsia="仿宋_GB2312"/>
          <w:color w:val="auto"/>
          <w:highlight w:val="none"/>
        </w:rPr>
        <w:t>拓展城市发展空间，优化空间和产业布局，推进港产城融合，强化组团联动，实施高水平集中适度开发，承接首都特色功能疏解，打造全省蓝色经济先行区和环渤海高质量发展新高地。</w:t>
      </w:r>
    </w:p>
    <w:p w14:paraId="6E649D25">
      <w:pPr>
        <w:spacing w:line="560" w:lineRule="exact"/>
        <w:ind w:firstLine="640" w:firstLineChars="200"/>
        <w:outlineLvl w:val="2"/>
        <w:rPr>
          <w:b w:val="0"/>
          <w:bCs w:val="0"/>
          <w:color w:val="auto"/>
          <w:highlight w:val="none"/>
        </w:rPr>
      </w:pPr>
      <w:bookmarkStart w:id="459" w:name="_Toc25306"/>
      <w:bookmarkStart w:id="460" w:name="_Toc2636"/>
      <w:bookmarkStart w:id="461" w:name="_Toc9844"/>
      <w:bookmarkStart w:id="462" w:name="_Toc11406"/>
      <w:bookmarkStart w:id="463" w:name="_Toc10404"/>
      <w:bookmarkStart w:id="464" w:name="_Toc5226"/>
      <w:r>
        <w:rPr>
          <w:rFonts w:hint="eastAsia"/>
          <w:b w:val="0"/>
          <w:bCs w:val="0"/>
          <w:color w:val="auto"/>
          <w:highlight w:val="none"/>
        </w:rPr>
        <w:t>（二）构建组团联动的城乡发展格局</w:t>
      </w:r>
      <w:bookmarkEnd w:id="459"/>
      <w:bookmarkEnd w:id="460"/>
      <w:bookmarkEnd w:id="461"/>
      <w:bookmarkEnd w:id="462"/>
      <w:bookmarkEnd w:id="463"/>
      <w:bookmarkEnd w:id="464"/>
    </w:p>
    <w:p w14:paraId="253B2347">
      <w:pPr>
        <w:spacing w:line="560" w:lineRule="exact"/>
        <w:ind w:firstLine="640" w:firstLineChars="200"/>
        <w:rPr>
          <w:rFonts w:eastAsia="仿宋_GB2312"/>
          <w:color w:val="auto"/>
          <w:highlight w:val="none"/>
        </w:rPr>
      </w:pPr>
      <w:r>
        <w:rPr>
          <w:rFonts w:hint="eastAsia" w:eastAsia="仿宋_GB2312"/>
          <w:color w:val="auto"/>
          <w:highlight w:val="none"/>
        </w:rPr>
        <w:t>突出山海特色发展，优化空间资源，完善城乡体系，着力构建</w:t>
      </w:r>
      <w:r>
        <w:rPr>
          <w:rFonts w:hint="eastAsia" w:eastAsia="仿宋_GB2312"/>
          <w:color w:val="auto"/>
          <w:highlight w:val="none"/>
          <w:lang w:eastAsia="zh-CN"/>
        </w:rPr>
        <w:t>“</w:t>
      </w:r>
      <w:r>
        <w:rPr>
          <w:rFonts w:hint="eastAsia" w:eastAsia="仿宋_GB2312"/>
          <w:color w:val="auto"/>
          <w:highlight w:val="none"/>
        </w:rPr>
        <w:t>一城一港、多组团、多节点</w:t>
      </w:r>
      <w:r>
        <w:rPr>
          <w:rFonts w:hint="eastAsia" w:eastAsia="仿宋_GB2312"/>
          <w:color w:val="auto"/>
          <w:highlight w:val="none"/>
          <w:lang w:eastAsia="zh-CN"/>
        </w:rPr>
        <w:t>”</w:t>
      </w:r>
      <w:r>
        <w:rPr>
          <w:rFonts w:hint="eastAsia" w:eastAsia="仿宋_GB2312"/>
          <w:color w:val="auto"/>
          <w:highlight w:val="none"/>
        </w:rPr>
        <w:t>的城乡空间格局。</w:t>
      </w:r>
      <w:r>
        <w:rPr>
          <w:rFonts w:hint="eastAsia" w:eastAsia="仿宋_GB2312"/>
          <w:color w:val="auto"/>
          <w:highlight w:val="none"/>
          <w:lang w:eastAsia="zh-CN"/>
        </w:rPr>
        <w:t>“</w:t>
      </w:r>
      <w:r>
        <w:rPr>
          <w:rFonts w:hint="eastAsia" w:eastAsia="仿宋_GB2312"/>
          <w:color w:val="auto"/>
          <w:highlight w:val="none"/>
        </w:rPr>
        <w:t>一城一港</w:t>
      </w:r>
      <w:r>
        <w:rPr>
          <w:rFonts w:hint="eastAsia" w:eastAsia="仿宋_GB2312"/>
          <w:color w:val="auto"/>
          <w:highlight w:val="none"/>
          <w:lang w:eastAsia="zh-CN"/>
        </w:rPr>
        <w:t>”</w:t>
      </w:r>
      <w:r>
        <w:rPr>
          <w:rFonts w:hint="eastAsia" w:eastAsia="仿宋_GB2312"/>
          <w:color w:val="auto"/>
          <w:highlight w:val="none"/>
        </w:rPr>
        <w:t>是城市的主城区。</w:t>
      </w:r>
      <w:r>
        <w:rPr>
          <w:rFonts w:hint="eastAsia" w:eastAsia="仿宋_GB2312"/>
          <w:color w:val="auto"/>
          <w:highlight w:val="none"/>
          <w:lang w:eastAsia="zh-CN"/>
        </w:rPr>
        <w:t>“</w:t>
      </w:r>
      <w:r>
        <w:rPr>
          <w:rFonts w:hint="eastAsia" w:eastAsia="仿宋_GB2312"/>
          <w:color w:val="auto"/>
          <w:highlight w:val="none"/>
        </w:rPr>
        <w:t>一城</w:t>
      </w:r>
      <w:r>
        <w:rPr>
          <w:rFonts w:hint="eastAsia" w:eastAsia="仿宋_GB2312"/>
          <w:color w:val="auto"/>
          <w:highlight w:val="none"/>
          <w:lang w:eastAsia="zh-CN"/>
        </w:rPr>
        <w:t>”</w:t>
      </w:r>
      <w:r>
        <w:rPr>
          <w:rFonts w:hint="eastAsia" w:eastAsia="仿宋_GB2312"/>
          <w:color w:val="auto"/>
          <w:highlight w:val="none"/>
        </w:rPr>
        <w:t>即海港区，强化城市综合功能，着力推进产业升级，推动城市功能更新和北部片区协调发展。</w:t>
      </w:r>
      <w:r>
        <w:rPr>
          <w:rFonts w:hint="eastAsia" w:eastAsia="仿宋_GB2312"/>
          <w:color w:val="auto"/>
          <w:highlight w:val="none"/>
          <w:lang w:eastAsia="zh-CN"/>
        </w:rPr>
        <w:t>“</w:t>
      </w:r>
      <w:r>
        <w:rPr>
          <w:rFonts w:hint="eastAsia" w:eastAsia="仿宋_GB2312"/>
          <w:color w:val="auto"/>
          <w:highlight w:val="none"/>
        </w:rPr>
        <w:t>一港</w:t>
      </w:r>
      <w:r>
        <w:rPr>
          <w:rFonts w:hint="eastAsia" w:eastAsia="仿宋_GB2312"/>
          <w:color w:val="auto"/>
          <w:highlight w:val="none"/>
          <w:lang w:eastAsia="zh-CN"/>
        </w:rPr>
        <w:t>”</w:t>
      </w:r>
      <w:r>
        <w:rPr>
          <w:rFonts w:hint="eastAsia" w:eastAsia="仿宋_GB2312"/>
          <w:color w:val="auto"/>
          <w:highlight w:val="none"/>
        </w:rPr>
        <w:t>即秦皇岛港，坚持以城定港，推进港口转型，实现港城融合。</w:t>
      </w:r>
      <w:r>
        <w:rPr>
          <w:rFonts w:hint="eastAsia" w:eastAsia="仿宋_GB2312"/>
          <w:color w:val="auto"/>
          <w:highlight w:val="none"/>
          <w:lang w:eastAsia="zh-CN"/>
        </w:rPr>
        <w:t>“</w:t>
      </w:r>
      <w:r>
        <w:rPr>
          <w:rFonts w:hint="eastAsia" w:eastAsia="仿宋_GB2312"/>
          <w:color w:val="auto"/>
          <w:highlight w:val="none"/>
        </w:rPr>
        <w:t>多组团</w:t>
      </w:r>
      <w:r>
        <w:rPr>
          <w:rFonts w:hint="eastAsia" w:eastAsia="仿宋_GB2312"/>
          <w:color w:val="auto"/>
          <w:highlight w:val="none"/>
          <w:lang w:eastAsia="zh-CN"/>
        </w:rPr>
        <w:t>”</w:t>
      </w:r>
      <w:r>
        <w:rPr>
          <w:rFonts w:hint="eastAsia" w:eastAsia="仿宋_GB2312"/>
          <w:color w:val="auto"/>
          <w:highlight w:val="none"/>
        </w:rPr>
        <w:t>是城市发展的拓展区，包括山海关、北戴河地区（含北戴河区和北戴河新区）、抚宁、秦皇岛开发区</w:t>
      </w:r>
      <w:r>
        <w:rPr>
          <w:rFonts w:eastAsia="仿宋_GB2312"/>
          <w:color w:val="auto"/>
          <w:highlight w:val="none"/>
        </w:rPr>
        <w:t>4</w:t>
      </w:r>
      <w:r>
        <w:rPr>
          <w:rFonts w:hint="eastAsia" w:eastAsia="仿宋_GB2312"/>
          <w:color w:val="auto"/>
          <w:highlight w:val="none"/>
        </w:rPr>
        <w:t>个城区组团和昌黎、卢龙、青龙</w:t>
      </w:r>
      <w:r>
        <w:rPr>
          <w:rFonts w:eastAsia="仿宋_GB2312"/>
          <w:color w:val="auto"/>
          <w:highlight w:val="none"/>
        </w:rPr>
        <w:t>3</w:t>
      </w:r>
      <w:r>
        <w:rPr>
          <w:rFonts w:hint="eastAsia" w:eastAsia="仿宋_GB2312"/>
          <w:color w:val="auto"/>
          <w:highlight w:val="none"/>
        </w:rPr>
        <w:t>个县城组团。推进抚宁、秦皇岛开发区组团与海港组团一体化发展；突出山海关、北戴河地区组团特色化发展；强化昌黎与黄金海岸片区的交通联系和功能互补；推进卢龙组团城乡统筹示范区建设，引导产业转型升级，构建城乡融合发展格局；保障青龙组团生态涵养旅游区建设，加强生态保育与环境综合治理。优化城镇规模体系，突出各城市组团特色，差异化发展主导功能，发挥中心城市的集聚能力，强化以县城为重要载体的城镇化建设，增强沿海平原地区的整体效率和承载能力，引导北部山区人口和城镇点状集聚发展，有序引导市域城镇人口的合理分布。</w:t>
      </w:r>
      <w:r>
        <w:rPr>
          <w:rFonts w:hint="eastAsia" w:eastAsia="仿宋_GB2312"/>
          <w:color w:val="auto"/>
          <w:highlight w:val="none"/>
          <w:lang w:eastAsia="zh-CN"/>
        </w:rPr>
        <w:t>“</w:t>
      </w:r>
      <w:r>
        <w:rPr>
          <w:rFonts w:hint="eastAsia" w:eastAsia="仿宋_GB2312"/>
          <w:color w:val="auto"/>
          <w:highlight w:val="none"/>
        </w:rPr>
        <w:t>多节点</w:t>
      </w:r>
      <w:r>
        <w:rPr>
          <w:rFonts w:hint="eastAsia" w:eastAsia="仿宋_GB2312"/>
          <w:color w:val="auto"/>
          <w:highlight w:val="none"/>
          <w:lang w:eastAsia="zh-CN"/>
        </w:rPr>
        <w:t>”</w:t>
      </w:r>
      <w:r>
        <w:rPr>
          <w:rFonts w:hint="eastAsia" w:eastAsia="仿宋_GB2312"/>
          <w:color w:val="auto"/>
          <w:highlight w:val="none"/>
        </w:rPr>
        <w:t>指多个小城镇，包括重点镇和一般镇。优化布局，完善基础设施和公共服务设施，提高建设水平，辐射带动周边区域发展。</w:t>
      </w:r>
    </w:p>
    <w:p w14:paraId="2A7FBD01">
      <w:pPr>
        <w:spacing w:line="560" w:lineRule="exact"/>
        <w:ind w:firstLine="646"/>
        <w:outlineLvl w:val="1"/>
        <w:rPr>
          <w:rFonts w:eastAsia="黑体"/>
          <w:color w:val="auto"/>
          <w:highlight w:val="none"/>
        </w:rPr>
      </w:pPr>
      <w:bookmarkStart w:id="465" w:name="_Toc21437"/>
      <w:bookmarkStart w:id="466" w:name="_Toc20530"/>
      <w:bookmarkStart w:id="467" w:name="_Toc10910"/>
      <w:r>
        <w:rPr>
          <w:rFonts w:hint="eastAsia" w:eastAsia="黑体"/>
          <w:color w:val="auto"/>
          <w:highlight w:val="none"/>
        </w:rPr>
        <w:t>二、</w:t>
      </w:r>
      <w:bookmarkEnd w:id="465"/>
      <w:bookmarkEnd w:id="466"/>
      <w:r>
        <w:rPr>
          <w:rFonts w:hint="eastAsia" w:eastAsia="黑体"/>
          <w:color w:val="auto"/>
          <w:highlight w:val="none"/>
        </w:rPr>
        <w:t>建设一流国际旅游城市</w:t>
      </w:r>
      <w:bookmarkEnd w:id="467"/>
    </w:p>
    <w:p w14:paraId="7765660C">
      <w:pPr>
        <w:spacing w:line="560" w:lineRule="exact"/>
        <w:ind w:firstLine="640" w:firstLineChars="200"/>
        <w:rPr>
          <w:rFonts w:eastAsia="仿宋_GB2312"/>
          <w:color w:val="auto"/>
          <w:highlight w:val="none"/>
        </w:rPr>
      </w:pPr>
      <w:r>
        <w:rPr>
          <w:rFonts w:hint="eastAsia" w:eastAsia="仿宋_GB2312"/>
          <w:color w:val="auto"/>
          <w:highlight w:val="none"/>
        </w:rPr>
        <w:t>以建设开放创新、绿色宜居的国际化滨海城市为目标，</w:t>
      </w:r>
      <w:r>
        <w:rPr>
          <w:rFonts w:hint="eastAsia" w:eastAsia="仿宋_GB2312"/>
          <w:color w:val="auto"/>
          <w:highlight w:val="none"/>
          <w:lang w:eastAsia="zh-CN"/>
        </w:rPr>
        <w:t>瞄准全省第一、对标全国最高水平，</w:t>
      </w:r>
      <w:r>
        <w:rPr>
          <w:rFonts w:hint="eastAsia" w:eastAsia="仿宋_GB2312"/>
          <w:color w:val="auto"/>
          <w:highlight w:val="none"/>
        </w:rPr>
        <w:t>进一步完善城市功能，加强市政基础设施和公共服务设施建设，改善环境品质，提升城市综合服务水平，建设现代化都市区。</w:t>
      </w:r>
    </w:p>
    <w:p w14:paraId="7B6912EC">
      <w:pPr>
        <w:spacing w:line="560" w:lineRule="exact"/>
        <w:ind w:firstLine="640" w:firstLineChars="200"/>
        <w:outlineLvl w:val="2"/>
        <w:rPr>
          <w:rFonts w:eastAsia="仿宋"/>
          <w:b w:val="0"/>
          <w:bCs w:val="0"/>
          <w:color w:val="auto"/>
          <w:highlight w:val="none"/>
        </w:rPr>
      </w:pPr>
      <w:bookmarkStart w:id="468" w:name="_Toc15888"/>
      <w:bookmarkStart w:id="469" w:name="_Toc25158"/>
      <w:bookmarkStart w:id="470" w:name="_Toc25686"/>
      <w:r>
        <w:rPr>
          <w:rFonts w:hint="eastAsia"/>
          <w:b w:val="0"/>
          <w:bCs w:val="0"/>
          <w:color w:val="auto"/>
          <w:highlight w:val="none"/>
        </w:rPr>
        <w:t>（一）</w:t>
      </w:r>
      <w:bookmarkEnd w:id="468"/>
      <w:bookmarkEnd w:id="469"/>
      <w:bookmarkStart w:id="471" w:name="_Toc13507"/>
      <w:bookmarkStart w:id="472" w:name="_Toc14206"/>
      <w:bookmarkStart w:id="473" w:name="_Toc23912"/>
      <w:bookmarkStart w:id="474" w:name="_Toc28921"/>
      <w:bookmarkStart w:id="475" w:name="_Toc549"/>
      <w:bookmarkStart w:id="476" w:name="_Toc5078"/>
      <w:bookmarkStart w:id="477" w:name="_Toc24953"/>
      <w:r>
        <w:rPr>
          <w:rFonts w:hint="eastAsia" w:eastAsia="楷体"/>
          <w:b w:val="0"/>
          <w:bCs w:val="0"/>
          <w:color w:val="auto"/>
          <w:highlight w:val="none"/>
        </w:rPr>
        <w:t>提升城市规划建设</w:t>
      </w:r>
      <w:bookmarkEnd w:id="471"/>
      <w:bookmarkEnd w:id="472"/>
      <w:bookmarkEnd w:id="473"/>
      <w:bookmarkEnd w:id="474"/>
      <w:bookmarkEnd w:id="475"/>
      <w:bookmarkEnd w:id="476"/>
      <w:bookmarkEnd w:id="477"/>
      <w:r>
        <w:rPr>
          <w:rFonts w:hint="eastAsia" w:eastAsia="楷体"/>
          <w:b w:val="0"/>
          <w:bCs w:val="0"/>
          <w:color w:val="auto"/>
          <w:highlight w:val="none"/>
        </w:rPr>
        <w:t>水平</w:t>
      </w:r>
      <w:bookmarkEnd w:id="470"/>
    </w:p>
    <w:p w14:paraId="7AD5D8F3">
      <w:pPr>
        <w:spacing w:line="560" w:lineRule="exact"/>
        <w:ind w:firstLine="640" w:firstLineChars="200"/>
        <w:rPr>
          <w:rFonts w:eastAsia="仿宋_GB2312"/>
          <w:color w:val="auto"/>
          <w:highlight w:val="none"/>
        </w:rPr>
      </w:pPr>
      <w:r>
        <w:rPr>
          <w:rFonts w:hint="eastAsia" w:eastAsia="仿宋_GB2312"/>
          <w:color w:val="auto"/>
          <w:highlight w:val="none"/>
        </w:rPr>
        <w:t>对标雄安新区和北京城市副中心规划建设，高质量编制城市规划，加强城市设计，统筹产业园区、城市街区、景区景点建设，充分挖掘自然风光、民俗风情、特色风物，建好城市标志性地段、景观、建筑，打造</w:t>
      </w:r>
      <w:r>
        <w:rPr>
          <w:rFonts w:hint="eastAsia" w:eastAsia="仿宋_GB2312"/>
          <w:color w:val="auto"/>
          <w:highlight w:val="none"/>
          <w:lang w:eastAsia="zh-CN"/>
        </w:rPr>
        <w:t>“</w:t>
      </w:r>
      <w:r>
        <w:rPr>
          <w:rFonts w:hint="eastAsia" w:eastAsia="仿宋_GB2312"/>
          <w:color w:val="auto"/>
          <w:highlight w:val="none"/>
        </w:rPr>
        <w:t>城市客厅</w:t>
      </w:r>
      <w:r>
        <w:rPr>
          <w:rFonts w:hint="eastAsia" w:eastAsia="仿宋_GB2312"/>
          <w:color w:val="auto"/>
          <w:highlight w:val="none"/>
          <w:lang w:eastAsia="zh-CN"/>
        </w:rPr>
        <w:t>”</w:t>
      </w:r>
      <w:r>
        <w:rPr>
          <w:rFonts w:hint="eastAsia" w:eastAsia="仿宋_GB2312"/>
          <w:color w:val="auto"/>
          <w:highlight w:val="none"/>
        </w:rPr>
        <w:t>和优美天际线，塑造历史底蕴、滨海风情、时代风尚、长城风韵、和谐一体的城市风貌。海港组团突出</w:t>
      </w:r>
      <w:r>
        <w:rPr>
          <w:rFonts w:hint="eastAsia" w:eastAsia="仿宋_GB2312"/>
          <w:color w:val="auto"/>
          <w:highlight w:val="none"/>
          <w:lang w:eastAsia="zh-CN"/>
        </w:rPr>
        <w:t>“</w:t>
      </w:r>
      <w:r>
        <w:rPr>
          <w:rFonts w:hint="eastAsia" w:eastAsia="仿宋_GB2312"/>
          <w:color w:val="auto"/>
          <w:highlight w:val="none"/>
        </w:rPr>
        <w:t>舒朗大气、简洁明快</w:t>
      </w:r>
      <w:r>
        <w:rPr>
          <w:rFonts w:hint="eastAsia" w:eastAsia="仿宋_GB2312"/>
          <w:color w:val="auto"/>
          <w:highlight w:val="none"/>
          <w:lang w:eastAsia="zh-CN"/>
        </w:rPr>
        <w:t>”</w:t>
      </w:r>
      <w:r>
        <w:rPr>
          <w:rFonts w:hint="eastAsia" w:eastAsia="仿宋_GB2312"/>
          <w:color w:val="auto"/>
          <w:highlight w:val="none"/>
        </w:rPr>
        <w:t>的现代港城风貌特色。北戴河地区组团突出</w:t>
      </w:r>
      <w:r>
        <w:rPr>
          <w:rFonts w:hint="eastAsia" w:eastAsia="仿宋_GB2312"/>
          <w:color w:val="auto"/>
          <w:highlight w:val="none"/>
          <w:lang w:eastAsia="zh-CN"/>
        </w:rPr>
        <w:t>“</w:t>
      </w:r>
      <w:r>
        <w:rPr>
          <w:rFonts w:hint="eastAsia" w:eastAsia="仿宋_GB2312"/>
          <w:color w:val="auto"/>
          <w:highlight w:val="none"/>
        </w:rPr>
        <w:t>红瓦绿树、碧海金沙</w:t>
      </w:r>
      <w:r>
        <w:rPr>
          <w:rFonts w:hint="eastAsia" w:eastAsia="仿宋_GB2312"/>
          <w:color w:val="auto"/>
          <w:highlight w:val="none"/>
          <w:lang w:eastAsia="zh-CN"/>
        </w:rPr>
        <w:t>”</w:t>
      </w:r>
      <w:r>
        <w:rPr>
          <w:rFonts w:hint="eastAsia" w:eastAsia="仿宋_GB2312"/>
          <w:color w:val="auto"/>
          <w:highlight w:val="none"/>
        </w:rPr>
        <w:t>的滨海休疗旅游区风貌特色。山海关组团突出</w:t>
      </w:r>
      <w:r>
        <w:rPr>
          <w:rFonts w:hint="eastAsia" w:eastAsia="仿宋_GB2312"/>
          <w:color w:val="auto"/>
          <w:highlight w:val="none"/>
          <w:lang w:eastAsia="zh-CN"/>
        </w:rPr>
        <w:t>“</w:t>
      </w:r>
      <w:r>
        <w:rPr>
          <w:rFonts w:hint="eastAsia" w:eastAsia="仿宋_GB2312"/>
          <w:color w:val="auto"/>
          <w:highlight w:val="none"/>
        </w:rPr>
        <w:t>古朴庄重、新旧辉映</w:t>
      </w:r>
      <w:r>
        <w:rPr>
          <w:rFonts w:hint="eastAsia" w:eastAsia="仿宋_GB2312"/>
          <w:color w:val="auto"/>
          <w:highlight w:val="none"/>
          <w:lang w:eastAsia="zh-CN"/>
        </w:rPr>
        <w:t>”</w:t>
      </w:r>
      <w:r>
        <w:rPr>
          <w:rFonts w:hint="eastAsia" w:eastAsia="仿宋_GB2312"/>
          <w:color w:val="auto"/>
          <w:highlight w:val="none"/>
        </w:rPr>
        <w:t>的滨海古城风貌特色。秦皇岛开发区组团突出</w:t>
      </w:r>
      <w:r>
        <w:rPr>
          <w:rFonts w:hint="eastAsia" w:eastAsia="仿宋_GB2312"/>
          <w:color w:val="auto"/>
          <w:highlight w:val="none"/>
          <w:lang w:eastAsia="zh-CN"/>
        </w:rPr>
        <w:t>“</w:t>
      </w:r>
      <w:r>
        <w:rPr>
          <w:rFonts w:hint="eastAsia" w:eastAsia="仿宋_GB2312"/>
          <w:color w:val="auto"/>
          <w:highlight w:val="none"/>
        </w:rPr>
        <w:t>科技先锋、创新风尚</w:t>
      </w:r>
      <w:r>
        <w:rPr>
          <w:rFonts w:hint="eastAsia" w:eastAsia="仿宋_GB2312"/>
          <w:color w:val="auto"/>
          <w:highlight w:val="none"/>
          <w:lang w:eastAsia="zh-CN"/>
        </w:rPr>
        <w:t>”</w:t>
      </w:r>
      <w:r>
        <w:rPr>
          <w:rFonts w:hint="eastAsia" w:eastAsia="仿宋_GB2312"/>
          <w:color w:val="auto"/>
          <w:highlight w:val="none"/>
        </w:rPr>
        <w:t>的创新园区风貌特色。强化历史文化保护，将历史文化融入城市规划建设，利用历史典故、民俗传说、名人轶事等，提炼文化符号，形成文化展示和体验空间。加强历史建筑、文物保护单位、古树名木的保护。</w:t>
      </w:r>
    </w:p>
    <w:p w14:paraId="46F809FE">
      <w:pPr>
        <w:spacing w:line="560" w:lineRule="exact"/>
        <w:ind w:firstLine="640" w:firstLineChars="200"/>
        <w:outlineLvl w:val="2"/>
        <w:rPr>
          <w:b w:val="0"/>
          <w:bCs w:val="0"/>
          <w:color w:val="auto"/>
          <w:highlight w:val="none"/>
        </w:rPr>
      </w:pPr>
      <w:bookmarkStart w:id="478" w:name="_Toc14690"/>
      <w:r>
        <w:rPr>
          <w:rFonts w:hint="eastAsia"/>
          <w:b w:val="0"/>
          <w:bCs w:val="0"/>
          <w:color w:val="auto"/>
          <w:highlight w:val="none"/>
        </w:rPr>
        <w:t>（二）增强城市综合承载能力</w:t>
      </w:r>
      <w:bookmarkEnd w:id="478"/>
    </w:p>
    <w:p w14:paraId="3EDD2B0D">
      <w:pPr>
        <w:spacing w:line="560" w:lineRule="exact"/>
        <w:ind w:firstLine="640" w:firstLineChars="200"/>
        <w:rPr>
          <w:rFonts w:eastAsia="仿宋_GB2312"/>
          <w:color w:val="auto"/>
          <w:highlight w:val="none"/>
        </w:rPr>
      </w:pPr>
      <w:r>
        <w:rPr>
          <w:rFonts w:hint="eastAsia" w:eastAsia="仿宋_GB2312"/>
          <w:color w:val="auto"/>
          <w:highlight w:val="none"/>
        </w:rPr>
        <w:t>全面提升城市品质品位。完善城市功能，植入国际交往（会议）、邮轮游艇中心、中央文化区、中央商务区、城市风貌标志区等新兴功能，形成功能复合的城市中心、四季友好的活力中心和海滨城市形象中心，提升城市综合服务水平。加快城市交通建设，优化街区路网结构，提高道路通达性和</w:t>
      </w:r>
      <w:r>
        <w:rPr>
          <w:rFonts w:hint="eastAsia" w:eastAsia="仿宋_GB2312"/>
          <w:color w:val="00B0F0"/>
          <w:highlight w:val="none"/>
          <w:lang w:eastAsia="zh-CN"/>
        </w:rPr>
        <w:t>通</w:t>
      </w:r>
      <w:r>
        <w:rPr>
          <w:rFonts w:hint="eastAsia" w:eastAsia="仿宋_GB2312"/>
          <w:color w:val="00B0F0"/>
          <w:highlight w:val="none"/>
        </w:rPr>
        <w:t>行</w:t>
      </w:r>
      <w:r>
        <w:rPr>
          <w:rFonts w:hint="eastAsia" w:eastAsia="仿宋_GB2312"/>
          <w:color w:val="auto"/>
          <w:highlight w:val="none"/>
        </w:rPr>
        <w:t>便利性。优先发展公共交通，加强停车设施建设管理。完善市政基础配套设施，加大城市供热、电力、通讯等设施建设，加强公共服务设施建设。实施城市更新行动，加大城镇老旧小区、城中村改造和社区建设力度，完成城市区</w:t>
      </w:r>
      <w:r>
        <w:rPr>
          <w:rFonts w:eastAsia="仿宋_GB2312"/>
          <w:color w:val="auto"/>
          <w:highlight w:val="none"/>
        </w:rPr>
        <w:t>80</w:t>
      </w:r>
      <w:r>
        <w:rPr>
          <w:rFonts w:hint="eastAsia" w:eastAsia="仿宋_GB2312"/>
          <w:color w:val="auto"/>
          <w:highlight w:val="none"/>
        </w:rPr>
        <w:t>年代老旧房屋改造</w:t>
      </w:r>
      <w:r>
        <w:rPr>
          <w:rFonts w:hint="eastAsia" w:eastAsia="仿宋_GB2312"/>
          <w:color w:val="auto"/>
          <w:highlight w:val="none"/>
          <w:lang w:eastAsia="zh-CN"/>
        </w:rPr>
        <w:t>，开发建设和完善火车站片区、海阳片区、西部片区等六大重点片区，重点推进河东、东港里等八大片区打捆整体改造。</w:t>
      </w:r>
      <w:r>
        <w:rPr>
          <w:rFonts w:hint="eastAsia" w:eastAsia="仿宋_GB2312"/>
          <w:color w:val="auto"/>
          <w:highlight w:val="none"/>
        </w:rPr>
        <w:t>推进海绵城市建设和绿色城市建设，持续开展城市绿化美化亮化净化专项整治，深入落实片长制、路长制，开展星级公园、美丽街区、精品街道等创建工作。树立全生命周期管理理念，深化城市运行管理</w:t>
      </w:r>
      <w:r>
        <w:rPr>
          <w:rFonts w:hint="eastAsia" w:eastAsia="仿宋_GB2312"/>
          <w:color w:val="auto"/>
          <w:highlight w:val="none"/>
          <w:lang w:eastAsia="zh-CN"/>
        </w:rPr>
        <w:t>“</w:t>
      </w:r>
      <w:r>
        <w:rPr>
          <w:rFonts w:hint="eastAsia" w:eastAsia="仿宋_GB2312"/>
          <w:color w:val="auto"/>
          <w:highlight w:val="none"/>
        </w:rPr>
        <w:t>一网统管</w:t>
      </w:r>
      <w:r>
        <w:rPr>
          <w:rFonts w:hint="eastAsia" w:eastAsia="仿宋_GB2312"/>
          <w:color w:val="auto"/>
          <w:highlight w:val="none"/>
          <w:lang w:eastAsia="zh-CN"/>
        </w:rPr>
        <w:t>”</w:t>
      </w:r>
      <w:r>
        <w:rPr>
          <w:rFonts w:hint="eastAsia" w:eastAsia="仿宋_GB2312"/>
          <w:color w:val="auto"/>
          <w:highlight w:val="none"/>
        </w:rPr>
        <w:t>，推进城市管理精细化。</w:t>
      </w:r>
    </w:p>
    <w:p w14:paraId="1E29AA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b w:val="0"/>
          <w:bCs w:val="0"/>
          <w:color w:val="auto"/>
          <w:highlight w:val="none"/>
        </w:rPr>
      </w:pPr>
      <w:bookmarkStart w:id="479" w:name="_Toc3602"/>
      <w:r>
        <w:rPr>
          <w:rFonts w:hint="eastAsia"/>
          <w:b w:val="0"/>
          <w:bCs w:val="0"/>
          <w:color w:val="auto"/>
          <w:highlight w:val="none"/>
          <w:lang w:eastAsia="zh-CN"/>
        </w:rPr>
        <w:t>（三）</w:t>
      </w:r>
      <w:r>
        <w:rPr>
          <w:rFonts w:hint="eastAsia"/>
          <w:b w:val="0"/>
          <w:bCs w:val="0"/>
          <w:color w:val="auto"/>
          <w:highlight w:val="none"/>
        </w:rPr>
        <w:t>建设新型智慧城市</w:t>
      </w:r>
      <w:bookmarkEnd w:id="479"/>
    </w:p>
    <w:p w14:paraId="33AB613C">
      <w:pPr>
        <w:spacing w:line="560" w:lineRule="exact"/>
        <w:ind w:firstLine="640" w:firstLineChars="200"/>
        <w:rPr>
          <w:rFonts w:eastAsia="仿宋_GB2312"/>
          <w:color w:val="auto"/>
          <w:highlight w:val="none"/>
        </w:rPr>
      </w:pPr>
      <w:r>
        <w:rPr>
          <w:rFonts w:hint="eastAsia" w:eastAsia="仿宋_GB2312"/>
          <w:color w:val="auto"/>
          <w:highlight w:val="none"/>
        </w:rPr>
        <w:t>创新服务模式供给。大力推进教育、就业、社保、医药卫生、精准扶贫、住房、交通、消防等领域大数据普及应用，深度开发各类便民应用。大力发展线上线下结合、跨界业务融合新模式。积极发展互联网医院，创建互联网健康咨询、健康管理、网上预约分诊、随访跟踪、全民应急救护知识和技能等</w:t>
      </w:r>
      <w:r>
        <w:rPr>
          <w:rFonts w:hint="eastAsia" w:eastAsia="仿宋_GB2312"/>
          <w:color w:val="auto"/>
          <w:highlight w:val="none"/>
          <w:lang w:eastAsia="zh-CN"/>
        </w:rPr>
        <w:t>“</w:t>
      </w:r>
      <w:r>
        <w:rPr>
          <w:rFonts w:hint="eastAsia" w:eastAsia="仿宋_GB2312"/>
          <w:color w:val="auto"/>
          <w:highlight w:val="none"/>
        </w:rPr>
        <w:t>互联网</w:t>
      </w:r>
      <w:r>
        <w:rPr>
          <w:rFonts w:eastAsia="仿宋_GB2312"/>
          <w:color w:val="auto"/>
          <w:highlight w:val="none"/>
        </w:rPr>
        <w:t>+</w:t>
      </w:r>
      <w:r>
        <w:rPr>
          <w:rFonts w:hint="eastAsia" w:eastAsia="仿宋_GB2312"/>
          <w:color w:val="auto"/>
          <w:highlight w:val="none"/>
        </w:rPr>
        <w:t>健康医疗</w:t>
      </w:r>
      <w:r>
        <w:rPr>
          <w:rFonts w:hint="eastAsia" w:eastAsia="仿宋_GB2312"/>
          <w:color w:val="auto"/>
          <w:highlight w:val="none"/>
          <w:lang w:eastAsia="zh-CN"/>
        </w:rPr>
        <w:t>”</w:t>
      </w:r>
      <w:r>
        <w:rPr>
          <w:rFonts w:hint="eastAsia" w:eastAsia="仿宋_GB2312"/>
          <w:color w:val="auto"/>
          <w:highlight w:val="none"/>
        </w:rPr>
        <w:t>服务新模式。开展数字校园建设，推进市县各类优质教学资源联网共享，发展互动教育、个性定制等在线服务教育。</w:t>
      </w:r>
    </w:p>
    <w:p w14:paraId="2B382E06">
      <w:pPr>
        <w:spacing w:line="560" w:lineRule="exact"/>
        <w:ind w:firstLine="640" w:firstLineChars="200"/>
        <w:rPr>
          <w:rFonts w:eastAsia="仿宋_GB2312"/>
          <w:color w:val="auto"/>
          <w:highlight w:val="none"/>
        </w:rPr>
      </w:pPr>
      <w:r>
        <w:rPr>
          <w:rFonts w:hint="eastAsia" w:eastAsia="仿宋_GB2312"/>
          <w:color w:val="auto"/>
          <w:highlight w:val="none"/>
        </w:rPr>
        <w:t>加强数字社会建设。全面推进城市数字化转型，将地理信息、事件信息、建筑物信息、人口法人信息、车辆信息、网络信息、物联传感信息等多类数据叠加关联，完善以</w:t>
      </w:r>
      <w:r>
        <w:rPr>
          <w:rFonts w:hint="eastAsia" w:eastAsia="仿宋_GB2312"/>
          <w:color w:val="auto"/>
          <w:highlight w:val="none"/>
          <w:lang w:eastAsia="zh-CN"/>
        </w:rPr>
        <w:t>“</w:t>
      </w:r>
      <w:r>
        <w:rPr>
          <w:rFonts w:hint="eastAsia" w:eastAsia="仿宋_GB2312"/>
          <w:color w:val="auto"/>
          <w:highlight w:val="none"/>
        </w:rPr>
        <w:t>城市大脑</w:t>
      </w:r>
      <w:r>
        <w:rPr>
          <w:rFonts w:hint="eastAsia" w:eastAsia="仿宋_GB2312"/>
          <w:color w:val="auto"/>
          <w:highlight w:val="none"/>
          <w:lang w:eastAsia="zh-CN"/>
        </w:rPr>
        <w:t>”</w:t>
      </w:r>
      <w:r>
        <w:rPr>
          <w:rFonts w:hint="eastAsia" w:eastAsia="仿宋_GB2312"/>
          <w:color w:val="auto"/>
          <w:highlight w:val="none"/>
        </w:rPr>
        <w:t>为中心的智能化治理网络，构建覆盖城乡的智能感知体系。推动新一代信息技术与城市规划、建设、管理、服务和产业发展的全面深度融合，以我市作为全国社会治理现代化试点城市为突破，加快建立完善市、县、乡（街道）、村（社区）四级指挥平台的开发和应用，深入推进数字社区和数字乡村建设，全面提升全市智慧城市建设水平。</w:t>
      </w:r>
    </w:p>
    <w:p w14:paraId="4F9552A6">
      <w:pPr>
        <w:pStyle w:val="9"/>
        <w:spacing w:after="0" w:line="560" w:lineRule="exact"/>
        <w:ind w:left="0" w:leftChars="0" w:firstLine="630" w:firstLineChars="0"/>
        <w:outlineLvl w:val="2"/>
        <w:rPr>
          <w:rFonts w:eastAsia="楷体_GB2312"/>
          <w:b w:val="0"/>
          <w:bCs w:val="0"/>
          <w:color w:val="auto"/>
          <w:kern w:val="2"/>
          <w:highlight w:val="none"/>
        </w:rPr>
      </w:pPr>
      <w:bookmarkStart w:id="480" w:name="_Toc17717"/>
      <w:r>
        <w:rPr>
          <w:rFonts w:hint="eastAsia" w:eastAsia="楷体_GB2312"/>
          <w:b w:val="0"/>
          <w:bCs w:val="0"/>
          <w:color w:val="auto"/>
          <w:kern w:val="2"/>
          <w:highlight w:val="none"/>
        </w:rPr>
        <w:t>（四）提升数字政府管理水平</w:t>
      </w:r>
      <w:bookmarkEnd w:id="480"/>
    </w:p>
    <w:p w14:paraId="5B706D66">
      <w:pPr>
        <w:spacing w:line="560" w:lineRule="exact"/>
        <w:ind w:firstLine="640" w:firstLineChars="200"/>
        <w:rPr>
          <w:rFonts w:eastAsia="仿宋_GB2312"/>
          <w:color w:val="auto"/>
          <w:highlight w:val="none"/>
        </w:rPr>
      </w:pPr>
      <w:r>
        <w:rPr>
          <w:rFonts w:hint="eastAsia" w:eastAsia="仿宋_GB2312"/>
          <w:color w:val="auto"/>
          <w:highlight w:val="none"/>
        </w:rPr>
        <w:t>推进电子政务集约化建设。坚持统一规划、统一网络、统一标准，加快政务信息系统整合步伐，打造统一安全的电子政务云、政务大数据平台。推动共享平台纵向贯通、横向连接，为各级各部门数据资源共享提供有力支撑。实施互联网出口整合计划、业务专网整合迁移计划，提升政务外网服务能力。</w:t>
      </w:r>
    </w:p>
    <w:p w14:paraId="0F8167FB">
      <w:pPr>
        <w:spacing w:line="560" w:lineRule="exact"/>
        <w:ind w:firstLine="640" w:firstLineChars="200"/>
        <w:rPr>
          <w:rFonts w:eastAsia="仿宋_GB2312"/>
          <w:color w:val="auto"/>
          <w:highlight w:val="none"/>
        </w:rPr>
      </w:pPr>
      <w:r>
        <w:rPr>
          <w:rFonts w:hint="eastAsia" w:eastAsia="仿宋_GB2312"/>
          <w:color w:val="auto"/>
          <w:highlight w:val="none"/>
        </w:rPr>
        <w:t>推动政府数据开放共享。深入推进政府各级、各部门间数据系统整合共享，推进公共数据开放标准、规则体系建设。健全市县两级政务信息资源共享交换平台，建立市县信息资源共享绩效评价制度，推进政务数据跨区域、跨部门、跨层级交换共享。</w:t>
      </w:r>
    </w:p>
    <w:p w14:paraId="4FA366FD">
      <w:pPr>
        <w:spacing w:line="560" w:lineRule="exact"/>
        <w:ind w:firstLine="640" w:firstLineChars="200"/>
        <w:rPr>
          <w:rFonts w:eastAsia="仿宋_GB2312"/>
          <w:color w:val="auto"/>
          <w:highlight w:val="none"/>
        </w:rPr>
      </w:pPr>
      <w:r>
        <w:rPr>
          <w:rFonts w:hint="eastAsia" w:eastAsia="仿宋_GB2312"/>
          <w:color w:val="auto"/>
          <w:highlight w:val="none"/>
        </w:rPr>
        <w:t>推动政府治理方式数字化变革。加强运用互联网、大数据、人工智能等技术手段推动行政管理探索创新。深化包容审慎监管，探索平台经济、共享经济监管模式。推进区块链技术等创新应用，加快构建以信用为基础的新型监管机制。</w:t>
      </w:r>
    </w:p>
    <w:p w14:paraId="53D70FD5">
      <w:pPr>
        <w:spacing w:line="560" w:lineRule="exact"/>
        <w:ind w:firstLine="646"/>
        <w:outlineLvl w:val="1"/>
        <w:rPr>
          <w:rFonts w:eastAsia="黑体"/>
          <w:color w:val="auto"/>
          <w:highlight w:val="none"/>
        </w:rPr>
      </w:pPr>
      <w:bookmarkStart w:id="481" w:name="_Toc11811"/>
      <w:r>
        <w:rPr>
          <w:rFonts w:hint="eastAsia" w:eastAsia="黑体"/>
          <w:color w:val="auto"/>
          <w:highlight w:val="none"/>
        </w:rPr>
        <w:t>三、提升县域发展能级</w:t>
      </w:r>
      <w:bookmarkEnd w:id="481"/>
    </w:p>
    <w:p w14:paraId="58898E15">
      <w:pPr>
        <w:spacing w:line="560" w:lineRule="exact"/>
        <w:ind w:firstLine="640" w:firstLineChars="200"/>
        <w:rPr>
          <w:rFonts w:eastAsia="仿宋_GB2312"/>
          <w:color w:val="auto"/>
          <w:highlight w:val="none"/>
        </w:rPr>
      </w:pPr>
      <w:r>
        <w:rPr>
          <w:rFonts w:hint="eastAsia" w:eastAsia="仿宋_GB2312"/>
          <w:color w:val="auto"/>
          <w:highlight w:val="none"/>
        </w:rPr>
        <w:t>坚持强基础、立支柱、上水平，扎实推进</w:t>
      </w:r>
      <w:r>
        <w:rPr>
          <w:rFonts w:eastAsia="仿宋_GB2312"/>
          <w:color w:val="auto"/>
          <w:highlight w:val="none"/>
        </w:rPr>
        <w:t xml:space="preserve"> </w:t>
      </w:r>
      <w:r>
        <w:rPr>
          <w:rFonts w:hint="eastAsia" w:eastAsia="仿宋_GB2312"/>
          <w:color w:val="auto"/>
          <w:highlight w:val="none"/>
          <w:lang w:eastAsia="zh-CN"/>
        </w:rPr>
        <w:t>“</w:t>
      </w:r>
      <w:r>
        <w:rPr>
          <w:rFonts w:hint="eastAsia" w:eastAsia="仿宋_GB2312"/>
          <w:color w:val="auto"/>
          <w:highlight w:val="none"/>
        </w:rPr>
        <w:t>一县一策</w:t>
      </w:r>
      <w:r>
        <w:rPr>
          <w:rFonts w:hint="eastAsia" w:eastAsia="仿宋_GB2312"/>
          <w:color w:val="auto"/>
          <w:highlight w:val="none"/>
          <w:lang w:eastAsia="zh-CN"/>
        </w:rPr>
        <w:t>”</w:t>
      </w:r>
      <w:r>
        <w:rPr>
          <w:rFonts w:hint="eastAsia" w:eastAsia="仿宋_GB2312"/>
          <w:color w:val="auto"/>
          <w:highlight w:val="none"/>
        </w:rPr>
        <w:t>、</w:t>
      </w:r>
      <w:r>
        <w:rPr>
          <w:rFonts w:eastAsia="仿宋_GB2312"/>
          <w:color w:val="auto"/>
          <w:highlight w:val="none"/>
        </w:rPr>
        <w:t xml:space="preserve"> </w:t>
      </w:r>
      <w:r>
        <w:rPr>
          <w:rFonts w:hint="eastAsia" w:eastAsia="仿宋_GB2312"/>
          <w:color w:val="auto"/>
          <w:highlight w:val="none"/>
          <w:lang w:eastAsia="zh-CN"/>
        </w:rPr>
        <w:t>“</w:t>
      </w:r>
      <w:r>
        <w:rPr>
          <w:rFonts w:hint="eastAsia" w:eastAsia="仿宋_GB2312"/>
          <w:color w:val="auto"/>
          <w:highlight w:val="none"/>
        </w:rPr>
        <w:t>一园一业</w:t>
      </w:r>
      <w:r>
        <w:rPr>
          <w:rFonts w:hint="eastAsia" w:eastAsia="仿宋_GB2312"/>
          <w:color w:val="auto"/>
          <w:highlight w:val="none"/>
          <w:lang w:eastAsia="zh-CN"/>
        </w:rPr>
        <w:t>”</w:t>
      </w:r>
      <w:r>
        <w:rPr>
          <w:rFonts w:hint="eastAsia" w:eastAsia="仿宋_GB2312"/>
          <w:color w:val="auto"/>
          <w:highlight w:val="none"/>
        </w:rPr>
        <w:t>，培育各具特色的县域经济板块。加快以县城为主要载体的城镇化建设，高标准高质量建设县域产业园区，提高县域产业承载能力，引导产业集约节约发展。</w:t>
      </w:r>
    </w:p>
    <w:p w14:paraId="26C6652C">
      <w:pPr>
        <w:spacing w:line="560" w:lineRule="exact"/>
        <w:ind w:firstLine="640" w:firstLineChars="200"/>
        <w:outlineLvl w:val="2"/>
        <w:rPr>
          <w:b w:val="0"/>
          <w:bCs w:val="0"/>
          <w:color w:val="auto"/>
          <w:highlight w:val="none"/>
        </w:rPr>
      </w:pPr>
      <w:bookmarkStart w:id="482" w:name="_Toc32386"/>
      <w:r>
        <w:rPr>
          <w:rFonts w:hint="eastAsia"/>
          <w:b w:val="0"/>
          <w:bCs w:val="0"/>
          <w:color w:val="auto"/>
          <w:highlight w:val="none"/>
        </w:rPr>
        <w:t>（一）推进县城扩容提质</w:t>
      </w:r>
      <w:bookmarkEnd w:id="482"/>
    </w:p>
    <w:p w14:paraId="55F4F08B">
      <w:pPr>
        <w:spacing w:line="560" w:lineRule="exact"/>
        <w:ind w:firstLine="640" w:firstLineChars="200"/>
        <w:rPr>
          <w:rFonts w:eastAsia="仿宋_GB2312"/>
          <w:color w:val="auto"/>
          <w:highlight w:val="none"/>
        </w:rPr>
      </w:pPr>
      <w:r>
        <w:rPr>
          <w:rFonts w:hint="eastAsia" w:eastAsia="仿宋_GB2312"/>
          <w:color w:val="auto"/>
          <w:highlight w:val="none"/>
        </w:rPr>
        <w:t>把县城建设作为推进新型城镇化和城乡统筹的关键举措，统筹新城建设与老城改造，合理确定发展规模、开发边界，完善基础设施和公共服务，增强集聚发展能力，引导人口与产业向县城集聚发展，推动产业向园区集中、园区向县城集中。强化规划引领，科学规划绿地景观、河湖水系，突出地域文化、民俗民风等特色，打造标志性建筑和特色空间。完善基础设施，加强道路路网、供排水、污水垃圾处理、集中供热设施建设，明确公共服务设施配置标准，进一步完善教育、医疗卫生、文化体育等公共服务设施，增强县城整体服务功能。推动产城教融合，促进产业园区与县城建设资源共享、设施配套、功能互补，统筹建设和使用图书馆、体育馆、文化馆等公共服务设施，优化县域教育资源布局，推动初中向重点乡镇集中，高中和职业教育逐步向县城集中。</w:t>
      </w:r>
    </w:p>
    <w:p w14:paraId="32502E57">
      <w:pPr>
        <w:spacing w:line="560" w:lineRule="exact"/>
        <w:ind w:firstLine="640" w:firstLineChars="200"/>
        <w:outlineLvl w:val="2"/>
        <w:rPr>
          <w:b w:val="0"/>
          <w:bCs w:val="0"/>
          <w:color w:val="auto"/>
          <w:highlight w:val="none"/>
        </w:rPr>
      </w:pPr>
      <w:bookmarkStart w:id="483" w:name="_Toc2397"/>
      <w:r>
        <w:rPr>
          <w:rFonts w:hint="eastAsia"/>
          <w:b w:val="0"/>
          <w:bCs w:val="0"/>
          <w:color w:val="auto"/>
          <w:highlight w:val="none"/>
        </w:rPr>
        <w:t>（二）推动县域产业集群发展</w:t>
      </w:r>
      <w:bookmarkEnd w:id="483"/>
    </w:p>
    <w:p w14:paraId="378FAD6B">
      <w:pPr>
        <w:spacing w:line="560" w:lineRule="exact"/>
        <w:ind w:firstLine="640" w:firstLineChars="200"/>
        <w:rPr>
          <w:rFonts w:eastAsia="仿宋_GB2312"/>
          <w:color w:val="auto"/>
          <w:highlight w:val="none"/>
        </w:rPr>
      </w:pPr>
      <w:r>
        <w:rPr>
          <w:rFonts w:hint="eastAsia" w:eastAsia="仿宋_GB2312"/>
          <w:color w:val="auto"/>
          <w:highlight w:val="none"/>
        </w:rPr>
        <w:t>依托资源禀赋和产业基础，做强做优立县特色主导产业，推进园区特色化、专业化提档升级，推动产业集群集约发展。</w:t>
      </w:r>
      <w:r>
        <w:rPr>
          <w:rFonts w:hint="eastAsia" w:eastAsia="仿宋_GB2312"/>
          <w:b/>
          <w:bCs/>
          <w:color w:val="auto"/>
          <w:highlight w:val="none"/>
        </w:rPr>
        <w:t>昌黎县高端金属材料及循环经济产业集群，</w:t>
      </w:r>
      <w:r>
        <w:rPr>
          <w:rFonts w:hint="eastAsia" w:eastAsia="仿宋_GB2312"/>
          <w:color w:val="auto"/>
          <w:highlight w:val="none"/>
        </w:rPr>
        <w:t>重点发展新型建材、装备制造、循环化工、钢铁深加工及现代物流五大产业，依托安丰、宏兴、兴国等企业，拓展不锈钢精品特钢、冷轧薄板、无缝钢管等新产品，开发汽车板、硅钢等高端产品。</w:t>
      </w:r>
      <w:r>
        <w:rPr>
          <w:rFonts w:hint="eastAsia" w:eastAsia="仿宋_GB2312"/>
          <w:b/>
          <w:bCs/>
          <w:color w:val="auto"/>
          <w:highlight w:val="none"/>
        </w:rPr>
        <w:t>昌黎葡萄酒产业集群，</w:t>
      </w:r>
      <w:r>
        <w:rPr>
          <w:rFonts w:hint="eastAsia" w:eastAsia="仿宋_GB2312"/>
          <w:color w:val="auto"/>
          <w:highlight w:val="none"/>
        </w:rPr>
        <w:t>依托华夏、茅台干红、朗格斯等龙头企业，重点发展高中档葡萄酒、产区个性化酒品，推动葡萄酒产业向品牌化、高端化、多元化、个性化整合发展。</w:t>
      </w:r>
      <w:r>
        <w:rPr>
          <w:rFonts w:hint="eastAsia" w:eastAsia="仿宋_GB2312"/>
          <w:b/>
          <w:bCs/>
          <w:color w:val="auto"/>
          <w:highlight w:val="none"/>
        </w:rPr>
        <w:t>昌黎县皮毛特色产业集群，</w:t>
      </w:r>
      <w:r>
        <w:rPr>
          <w:rFonts w:hint="eastAsia" w:eastAsia="仿宋_GB2312"/>
          <w:color w:val="auto"/>
          <w:highlight w:val="none"/>
        </w:rPr>
        <w:t>重点发展动物养殖、品种改良、设计研发、服装加工</w:t>
      </w:r>
      <w:r>
        <w:rPr>
          <w:rFonts w:hint="eastAsia" w:eastAsia="仿宋_GB2312"/>
          <w:color w:val="auto"/>
          <w:highlight w:val="none"/>
          <w:lang w:eastAsia="zh-CN"/>
        </w:rPr>
        <w:t>“</w:t>
      </w:r>
      <w:r>
        <w:rPr>
          <w:rFonts w:hint="eastAsia" w:eastAsia="仿宋_GB2312"/>
          <w:color w:val="auto"/>
          <w:highlight w:val="none"/>
        </w:rPr>
        <w:t>四大基地</w:t>
      </w:r>
      <w:r>
        <w:rPr>
          <w:rFonts w:hint="eastAsia" w:eastAsia="仿宋_GB2312"/>
          <w:color w:val="auto"/>
          <w:highlight w:val="none"/>
          <w:lang w:eastAsia="zh-CN"/>
        </w:rPr>
        <w:t>”</w:t>
      </w:r>
      <w:r>
        <w:rPr>
          <w:rFonts w:hint="eastAsia" w:eastAsia="仿宋_GB2312"/>
          <w:color w:val="auto"/>
          <w:highlight w:val="none"/>
        </w:rPr>
        <w:t>，打造中国</w:t>
      </w:r>
      <w:r>
        <w:rPr>
          <w:rFonts w:hint="eastAsia" w:eastAsia="仿宋_GB2312"/>
          <w:color w:val="auto"/>
          <w:highlight w:val="none"/>
          <w:lang w:eastAsia="zh-CN"/>
        </w:rPr>
        <w:t>“</w:t>
      </w:r>
      <w:r>
        <w:rPr>
          <w:rFonts w:hint="eastAsia" w:eastAsia="仿宋_GB2312"/>
          <w:color w:val="auto"/>
          <w:highlight w:val="none"/>
        </w:rPr>
        <w:t>北方裘都</w:t>
      </w:r>
      <w:r>
        <w:rPr>
          <w:rFonts w:hint="eastAsia" w:eastAsia="仿宋_GB2312"/>
          <w:color w:val="auto"/>
          <w:highlight w:val="none"/>
          <w:lang w:eastAsia="zh-CN"/>
        </w:rPr>
        <w:t>”</w:t>
      </w:r>
      <w:r>
        <w:rPr>
          <w:rFonts w:hint="eastAsia" w:eastAsia="仿宋_GB2312"/>
          <w:color w:val="auto"/>
          <w:highlight w:val="none"/>
        </w:rPr>
        <w:t>。</w:t>
      </w:r>
      <w:r>
        <w:rPr>
          <w:rFonts w:hint="eastAsia" w:eastAsia="仿宋_GB2312"/>
          <w:b/>
          <w:color w:val="auto"/>
          <w:highlight w:val="none"/>
        </w:rPr>
        <w:t>卢龙县新型建材产业集群，</w:t>
      </w:r>
      <w:r>
        <w:rPr>
          <w:rFonts w:hint="eastAsia" w:eastAsia="仿宋_GB2312"/>
          <w:color w:val="auto"/>
          <w:highlight w:val="none"/>
        </w:rPr>
        <w:t>以绿色建筑材料为重点，大力发展内外墙板、人造石英石板材等产品，做强以预制构件和集成家居为核心的装配式绿色建筑产业。</w:t>
      </w:r>
      <w:r>
        <w:rPr>
          <w:rFonts w:hint="eastAsia" w:eastAsia="仿宋_GB2312"/>
          <w:b/>
          <w:bCs/>
          <w:color w:val="auto"/>
          <w:highlight w:val="none"/>
        </w:rPr>
        <w:t>卢龙县甘薯深加工特色产业集群，</w:t>
      </w:r>
      <w:r>
        <w:rPr>
          <w:rFonts w:hint="eastAsia" w:eastAsia="仿宋_GB2312"/>
          <w:color w:val="auto"/>
          <w:highlight w:val="none"/>
        </w:rPr>
        <w:t>依托十八里食品、光友薯业等龙头企业，开发高品质精制淀粉、方便粉丝、冷面、薯脯等深加工品种，研制开发甘薯全粉、紫甘薯色素等新产品，提高产品附加值，叫响</w:t>
      </w:r>
      <w:r>
        <w:rPr>
          <w:rFonts w:hint="eastAsia" w:eastAsia="仿宋_GB2312"/>
          <w:color w:val="auto"/>
          <w:highlight w:val="none"/>
          <w:lang w:eastAsia="zh-CN"/>
        </w:rPr>
        <w:t>“</w:t>
      </w:r>
      <w:r>
        <w:rPr>
          <w:rFonts w:hint="eastAsia" w:eastAsia="仿宋_GB2312"/>
          <w:color w:val="auto"/>
          <w:highlight w:val="none"/>
        </w:rPr>
        <w:t>中国甘薯之乡</w:t>
      </w:r>
      <w:r>
        <w:rPr>
          <w:rFonts w:hint="eastAsia" w:eastAsia="仿宋_GB2312"/>
          <w:color w:val="auto"/>
          <w:highlight w:val="none"/>
          <w:lang w:eastAsia="zh-CN"/>
        </w:rPr>
        <w:t>”</w:t>
      </w:r>
      <w:r>
        <w:rPr>
          <w:rFonts w:hint="eastAsia" w:eastAsia="仿宋_GB2312"/>
          <w:color w:val="auto"/>
          <w:highlight w:val="none"/>
        </w:rPr>
        <w:t>品牌。</w:t>
      </w:r>
      <w:r>
        <w:rPr>
          <w:rFonts w:hint="eastAsia" w:eastAsia="仿宋_GB2312"/>
          <w:b/>
          <w:bCs/>
          <w:color w:val="auto"/>
          <w:highlight w:val="none"/>
        </w:rPr>
        <w:t>青龙特色农产品加工产业集群，</w:t>
      </w:r>
      <w:r>
        <w:rPr>
          <w:rFonts w:hint="eastAsia" w:eastAsia="仿宋_GB2312"/>
          <w:color w:val="auto"/>
          <w:highlight w:val="none"/>
        </w:rPr>
        <w:t>依托双合盛粘豆包、同盛医药、中红三融、百峰贸易、木兰菌业等企业，着力培育林果、畜牧、中药材三大主导产业和设施蔬菜、杂粮、桑柞蚕三大特色产业，打造板栗及特色农产品加工产业集群。</w:t>
      </w:r>
    </w:p>
    <w:p w14:paraId="5BF085FE">
      <w:pPr>
        <w:spacing w:line="560" w:lineRule="exact"/>
        <w:ind w:firstLine="640" w:firstLineChars="200"/>
        <w:outlineLvl w:val="2"/>
        <w:rPr>
          <w:b w:val="0"/>
          <w:bCs w:val="0"/>
          <w:color w:val="auto"/>
          <w:highlight w:val="none"/>
        </w:rPr>
      </w:pPr>
      <w:bookmarkStart w:id="484" w:name="_Toc4205"/>
      <w:r>
        <w:rPr>
          <w:rFonts w:hint="eastAsia"/>
          <w:b w:val="0"/>
          <w:bCs w:val="0"/>
          <w:color w:val="auto"/>
          <w:highlight w:val="none"/>
        </w:rPr>
        <w:t>（三）加快发展小城镇和特色小镇</w:t>
      </w:r>
      <w:bookmarkEnd w:id="484"/>
    </w:p>
    <w:p w14:paraId="279EFC82">
      <w:pPr>
        <w:spacing w:line="560" w:lineRule="exact"/>
        <w:ind w:firstLine="640" w:firstLineChars="200"/>
        <w:rPr>
          <w:rFonts w:eastAsia="仿宋_GB2312"/>
          <w:color w:val="auto"/>
          <w:highlight w:val="none"/>
        </w:rPr>
      </w:pPr>
      <w:r>
        <w:rPr>
          <w:rFonts w:hint="eastAsia" w:eastAsia="仿宋_GB2312"/>
          <w:color w:val="auto"/>
          <w:highlight w:val="none"/>
        </w:rPr>
        <w:t>分类引导小城镇特色化发展，重点培育具有发展潜力、或产业集群基础、非农就业比重高的小城镇作为重点镇。依据城镇发展现状和条件，择优培育一批重点镇，承担跨镇域的公共服务职能，完善基础设施，发展专业化生产，打造农业产业化基地。推动特色小镇高质量发展，依托城市重要景观资源、山海旅游通道建设，结合旅游、度假、康养、体育、文化、创意等产业，打造生产生活生态</w:t>
      </w:r>
      <w:r>
        <w:rPr>
          <w:rFonts w:hint="eastAsia" w:eastAsia="仿宋_GB2312"/>
          <w:color w:val="auto"/>
          <w:highlight w:val="none"/>
          <w:lang w:eastAsia="zh-CN"/>
        </w:rPr>
        <w:t>“</w:t>
      </w:r>
      <w:r>
        <w:rPr>
          <w:rFonts w:hint="eastAsia" w:eastAsia="仿宋_GB2312"/>
          <w:color w:val="auto"/>
          <w:highlight w:val="none"/>
        </w:rPr>
        <w:t>三生融合</w:t>
      </w:r>
      <w:r>
        <w:rPr>
          <w:rFonts w:hint="eastAsia" w:eastAsia="仿宋_GB2312"/>
          <w:color w:val="auto"/>
          <w:highlight w:val="none"/>
          <w:lang w:eastAsia="zh-CN"/>
        </w:rPr>
        <w:t>”</w:t>
      </w:r>
      <w:r>
        <w:rPr>
          <w:rFonts w:hint="eastAsia" w:eastAsia="仿宋_GB2312"/>
          <w:color w:val="auto"/>
          <w:highlight w:val="none"/>
        </w:rPr>
        <w:t>，产城人文</w:t>
      </w:r>
      <w:r>
        <w:rPr>
          <w:rFonts w:hint="eastAsia" w:eastAsia="仿宋_GB2312"/>
          <w:color w:val="auto"/>
          <w:highlight w:val="none"/>
          <w:lang w:eastAsia="zh-CN"/>
        </w:rPr>
        <w:t>“</w:t>
      </w:r>
      <w:r>
        <w:rPr>
          <w:rFonts w:hint="eastAsia" w:eastAsia="仿宋_GB2312"/>
          <w:color w:val="auto"/>
          <w:highlight w:val="none"/>
        </w:rPr>
        <w:t>四位一体</w:t>
      </w:r>
      <w:r>
        <w:rPr>
          <w:rFonts w:hint="eastAsia" w:eastAsia="仿宋_GB2312"/>
          <w:color w:val="auto"/>
          <w:highlight w:val="none"/>
          <w:lang w:eastAsia="zh-CN"/>
        </w:rPr>
        <w:t>”</w:t>
      </w:r>
      <w:r>
        <w:rPr>
          <w:rFonts w:hint="eastAsia" w:eastAsia="仿宋_GB2312"/>
          <w:color w:val="auto"/>
          <w:highlight w:val="none"/>
        </w:rPr>
        <w:t>特色小镇。着力提升重点镇、中心村的规模和品质，依托各重点镇生态、旅游、文化资源和产业基础，加快镇区道路、广场等基础设施建设，培育壮大一批功能集成型服务中心或聚集区。加强以乡镇政府驻地为中心的农民生活圈建设，以镇带村、以村促镇，推动镇村联动发展。</w:t>
      </w:r>
    </w:p>
    <w:p w14:paraId="3A27E7EB">
      <w:pPr>
        <w:spacing w:line="560" w:lineRule="exact"/>
        <w:ind w:firstLine="646"/>
        <w:outlineLvl w:val="1"/>
        <w:rPr>
          <w:rFonts w:eastAsia="黑体"/>
          <w:color w:val="auto"/>
          <w:highlight w:val="none"/>
        </w:rPr>
      </w:pPr>
      <w:bookmarkStart w:id="485" w:name="_Toc4490"/>
      <w:r>
        <w:rPr>
          <w:rFonts w:hint="eastAsia" w:eastAsia="黑体"/>
          <w:color w:val="auto"/>
          <w:highlight w:val="none"/>
        </w:rPr>
        <w:t>四、推动城乡融合发展</w:t>
      </w:r>
      <w:bookmarkEnd w:id="485"/>
    </w:p>
    <w:p w14:paraId="501E83CC">
      <w:pPr>
        <w:spacing w:line="560" w:lineRule="exact"/>
        <w:ind w:firstLine="640" w:firstLineChars="200"/>
        <w:rPr>
          <w:rFonts w:eastAsia="仿宋_GB2312"/>
          <w:color w:val="auto"/>
          <w:highlight w:val="none"/>
        </w:rPr>
      </w:pPr>
      <w:r>
        <w:rPr>
          <w:rFonts w:hint="eastAsia" w:eastAsia="仿宋_GB2312"/>
          <w:color w:val="auto"/>
          <w:highlight w:val="none"/>
        </w:rPr>
        <w:t>加快建立城乡融合发展的体制机制和政策体系，优化农村发展外部环境，破除阻碍发展的制度障碍，推动城乡要素均衡高效配置和平等交换，加快资本、技术、人才等各类要素向乡村流动，加速形成城乡互惠一体发展的新格局。</w:t>
      </w:r>
      <w:bookmarkStart w:id="486" w:name="_Toc29344"/>
    </w:p>
    <w:p w14:paraId="75342742">
      <w:pPr>
        <w:spacing w:line="560" w:lineRule="exact"/>
        <w:ind w:firstLine="640" w:firstLineChars="200"/>
        <w:outlineLvl w:val="2"/>
        <w:rPr>
          <w:b w:val="0"/>
          <w:bCs w:val="0"/>
          <w:color w:val="auto"/>
          <w:highlight w:val="none"/>
        </w:rPr>
      </w:pPr>
      <w:bookmarkStart w:id="487" w:name="_Toc11061"/>
      <w:bookmarkStart w:id="488" w:name="_Toc2264"/>
      <w:r>
        <w:rPr>
          <w:rFonts w:hint="eastAsia"/>
          <w:b w:val="0"/>
          <w:bCs w:val="0"/>
          <w:color w:val="auto"/>
          <w:highlight w:val="none"/>
        </w:rPr>
        <w:t>（一）加快农业转移人口市民化</w:t>
      </w:r>
      <w:bookmarkEnd w:id="486"/>
      <w:bookmarkEnd w:id="487"/>
      <w:bookmarkEnd w:id="488"/>
    </w:p>
    <w:p w14:paraId="1CD7F974">
      <w:pPr>
        <w:spacing w:line="560" w:lineRule="exact"/>
        <w:ind w:firstLine="640" w:firstLineChars="200"/>
        <w:rPr>
          <w:rFonts w:eastAsia="仿宋"/>
          <w:color w:val="auto"/>
          <w:highlight w:val="none"/>
        </w:rPr>
      </w:pPr>
      <w:r>
        <w:rPr>
          <w:rFonts w:hint="eastAsia" w:eastAsia="仿宋_GB2312"/>
          <w:color w:val="auto"/>
          <w:highlight w:val="none"/>
        </w:rPr>
        <w:t>全面放开城镇落户限制，促进有能力在城镇稳定就业和生活的农业转移人口落户城镇。清理限制户口迁移的</w:t>
      </w:r>
      <w:r>
        <w:rPr>
          <w:rFonts w:hint="eastAsia" w:eastAsia="仿宋_GB2312"/>
          <w:color w:val="auto"/>
          <w:highlight w:val="none"/>
          <w:lang w:eastAsia="zh-CN"/>
        </w:rPr>
        <w:t>“</w:t>
      </w:r>
      <w:r>
        <w:rPr>
          <w:rFonts w:hint="eastAsia" w:eastAsia="仿宋_GB2312"/>
          <w:color w:val="auto"/>
          <w:highlight w:val="none"/>
        </w:rPr>
        <w:t>门槛</w:t>
      </w:r>
      <w:r>
        <w:rPr>
          <w:rFonts w:hint="eastAsia" w:eastAsia="仿宋_GB2312"/>
          <w:color w:val="auto"/>
          <w:highlight w:val="none"/>
          <w:lang w:eastAsia="zh-CN"/>
        </w:rPr>
        <w:t>”</w:t>
      </w:r>
      <w:r>
        <w:rPr>
          <w:rFonts w:hint="eastAsia" w:eastAsia="仿宋_GB2312"/>
          <w:color w:val="auto"/>
          <w:highlight w:val="none"/>
        </w:rPr>
        <w:t>和障碍，着力解决农村学生升学参军进入城镇人口、在城镇就业居住五年以上和举家迁徙的农业转移人口、新生代农民工等重点群体落户问题。全面实行居住证制度，将居住证制度覆盖全部未落户城镇常住人口，推进相关领域配套改革，为居住证持有人提供便利化基本公共服务。维护进城落户农民土地承包权、宅基地使用权、集体收益分配权，探索建立进城落户农民依法自愿有偿转让上述权益的机制。加快户籍变动与农村</w:t>
      </w:r>
      <w:r>
        <w:rPr>
          <w:rFonts w:hint="eastAsia" w:eastAsia="仿宋_GB2312"/>
          <w:color w:val="auto"/>
          <w:highlight w:val="none"/>
          <w:lang w:eastAsia="zh-CN"/>
        </w:rPr>
        <w:t>“</w:t>
      </w:r>
      <w:r>
        <w:rPr>
          <w:rFonts w:hint="eastAsia" w:eastAsia="仿宋_GB2312"/>
          <w:color w:val="auto"/>
          <w:highlight w:val="none"/>
        </w:rPr>
        <w:t>三权</w:t>
      </w:r>
      <w:r>
        <w:rPr>
          <w:rFonts w:hint="eastAsia" w:eastAsia="仿宋_GB2312"/>
          <w:color w:val="auto"/>
          <w:highlight w:val="none"/>
          <w:lang w:eastAsia="zh-CN"/>
        </w:rPr>
        <w:t>”</w:t>
      </w:r>
      <w:r>
        <w:rPr>
          <w:rFonts w:hint="eastAsia" w:eastAsia="仿宋_GB2312"/>
          <w:color w:val="auto"/>
          <w:highlight w:val="none"/>
        </w:rPr>
        <w:t>脱钩，不得以退出</w:t>
      </w:r>
      <w:r>
        <w:rPr>
          <w:rFonts w:hint="eastAsia" w:eastAsia="仿宋_GB2312"/>
          <w:color w:val="auto"/>
          <w:highlight w:val="none"/>
          <w:lang w:eastAsia="zh-CN"/>
        </w:rPr>
        <w:t>“</w:t>
      </w:r>
      <w:r>
        <w:rPr>
          <w:rFonts w:hint="eastAsia" w:eastAsia="仿宋_GB2312"/>
          <w:color w:val="auto"/>
          <w:highlight w:val="none"/>
        </w:rPr>
        <w:t>三权</w:t>
      </w:r>
      <w:r>
        <w:rPr>
          <w:rFonts w:hint="eastAsia" w:eastAsia="仿宋_GB2312"/>
          <w:color w:val="auto"/>
          <w:highlight w:val="none"/>
          <w:lang w:eastAsia="zh-CN"/>
        </w:rPr>
        <w:t>”</w:t>
      </w:r>
      <w:r>
        <w:rPr>
          <w:rFonts w:hint="eastAsia" w:eastAsia="仿宋_GB2312"/>
          <w:color w:val="auto"/>
          <w:highlight w:val="none"/>
        </w:rPr>
        <w:t>作为农民进城落户的条件，促使有条件的农业转移人口放心落户城镇。</w:t>
      </w:r>
    </w:p>
    <w:p w14:paraId="5276C732">
      <w:pPr>
        <w:spacing w:line="560" w:lineRule="exact"/>
        <w:ind w:firstLine="640" w:firstLineChars="200"/>
        <w:outlineLvl w:val="2"/>
        <w:rPr>
          <w:b w:val="0"/>
          <w:bCs w:val="0"/>
          <w:color w:val="auto"/>
          <w:highlight w:val="none"/>
        </w:rPr>
      </w:pPr>
      <w:bookmarkStart w:id="489" w:name="_Toc434"/>
      <w:bookmarkStart w:id="490" w:name="_Toc32211"/>
      <w:r>
        <w:rPr>
          <w:rFonts w:hint="eastAsia"/>
          <w:b w:val="0"/>
          <w:bCs w:val="0"/>
          <w:color w:val="auto"/>
          <w:highlight w:val="none"/>
        </w:rPr>
        <w:t>（二）推进城乡基本公共服务均等化</w:t>
      </w:r>
      <w:bookmarkEnd w:id="489"/>
      <w:bookmarkEnd w:id="490"/>
    </w:p>
    <w:p w14:paraId="749ED54C">
      <w:pPr>
        <w:spacing w:line="560" w:lineRule="exact"/>
        <w:ind w:firstLine="640" w:firstLineChars="200"/>
        <w:rPr>
          <w:rFonts w:eastAsia="仿宋_GB2312"/>
          <w:color w:val="auto"/>
          <w:highlight w:val="none"/>
        </w:rPr>
      </w:pPr>
      <w:r>
        <w:rPr>
          <w:rFonts w:hint="eastAsia" w:eastAsia="仿宋_GB2312"/>
          <w:color w:val="auto"/>
          <w:highlight w:val="none"/>
        </w:rPr>
        <w:t>加快公共服务向农村延伸、社会事业向农村覆盖，推动城乡标准统一、制度并轨。促进城乡教育资源均衡配置，推行城乡义务教育学校标准化建设，推动教育基础设施向农村延伸，加快推进中小学幼儿园建设，优化城乡师资配置，实现优质教育资源在城乡间共享，让每个孩子都能享有公平而有质量的教育。推进医疗一体化，健全农村、社区基层公共卫生服务体系，改善乡镇卫生院和村卫生室条件，加快基层医疗机构标准化建设，满足农村群众的就近医疗需求。完善城乡统一的社会保险制度，构建多层次的农村养老服务体系，统筹城乡社会救助体系，加大农村社会救助投入。统筹城乡公共文化设施建设，加强基层综合性文化服务中心建设，提升乡镇综合文化站服务效能。统筹城乡社会管理，完善镇村管理体制，积极推进农村社区建设，增强农村社区自我管理和自我服务能力。</w:t>
      </w:r>
    </w:p>
    <w:p w14:paraId="2A4CFBC0">
      <w:pPr>
        <w:spacing w:line="560" w:lineRule="exact"/>
        <w:ind w:firstLine="640" w:firstLineChars="200"/>
        <w:outlineLvl w:val="2"/>
        <w:rPr>
          <w:b w:val="0"/>
          <w:bCs w:val="0"/>
          <w:color w:val="auto"/>
          <w:highlight w:val="none"/>
        </w:rPr>
      </w:pPr>
      <w:bookmarkStart w:id="491" w:name="_Toc18458"/>
      <w:bookmarkStart w:id="492" w:name="_Toc20167"/>
      <w:bookmarkStart w:id="493" w:name="_Toc15015"/>
      <w:r>
        <w:rPr>
          <w:rFonts w:hint="eastAsia"/>
          <w:b w:val="0"/>
          <w:bCs w:val="0"/>
          <w:color w:val="auto"/>
          <w:highlight w:val="none"/>
        </w:rPr>
        <w:t>（三）推进城乡基础设施建管一体化</w:t>
      </w:r>
      <w:bookmarkEnd w:id="491"/>
      <w:bookmarkEnd w:id="492"/>
      <w:bookmarkEnd w:id="493"/>
    </w:p>
    <w:p w14:paraId="2ED599A7">
      <w:pPr>
        <w:spacing w:line="560" w:lineRule="exact"/>
        <w:ind w:firstLine="640" w:firstLineChars="200"/>
        <w:rPr>
          <w:rFonts w:hint="eastAsia" w:eastAsia="仿宋_GB2312"/>
          <w:color w:val="auto"/>
          <w:highlight w:val="none"/>
        </w:rPr>
      </w:pPr>
      <w:r>
        <w:rPr>
          <w:rFonts w:hint="eastAsia" w:eastAsia="仿宋_GB2312"/>
          <w:color w:val="auto"/>
          <w:highlight w:val="none"/>
        </w:rPr>
        <w:t>统筹城乡基础设施规划，推进城乡基础设施共建共享。推进气化一体化，全力做好安全巡查、气源保障等工作，严格落实人员、制度等安全保障措施，确保安全用气、科学用气、节约用气。推进公共交通一体化，畅通城乡交通运输连接，整合城乡客运线路资源，全面提升农村路网规模和质量，重点提升改造窄路基路面，逐步打通路网中的</w:t>
      </w:r>
      <w:r>
        <w:rPr>
          <w:rFonts w:hint="eastAsia" w:eastAsia="仿宋_GB2312"/>
          <w:color w:val="auto"/>
          <w:highlight w:val="none"/>
          <w:lang w:eastAsia="zh-CN"/>
        </w:rPr>
        <w:t>“</w:t>
      </w:r>
      <w:r>
        <w:rPr>
          <w:rFonts w:hint="eastAsia" w:eastAsia="仿宋_GB2312"/>
          <w:color w:val="auto"/>
          <w:highlight w:val="none"/>
        </w:rPr>
        <w:t>断头路</w:t>
      </w:r>
      <w:r>
        <w:rPr>
          <w:rFonts w:hint="eastAsia" w:eastAsia="仿宋_GB2312"/>
          <w:color w:val="auto"/>
          <w:highlight w:val="none"/>
          <w:lang w:eastAsia="zh-CN"/>
        </w:rPr>
        <w:t>”“</w:t>
      </w:r>
      <w:r>
        <w:rPr>
          <w:rFonts w:hint="eastAsia" w:eastAsia="仿宋_GB2312"/>
          <w:color w:val="auto"/>
          <w:highlight w:val="none"/>
        </w:rPr>
        <w:t>瓶颈路</w:t>
      </w:r>
      <w:r>
        <w:rPr>
          <w:rFonts w:hint="eastAsia" w:eastAsia="仿宋_GB2312"/>
          <w:color w:val="auto"/>
          <w:highlight w:val="none"/>
          <w:lang w:eastAsia="zh-CN"/>
        </w:rPr>
        <w:t>”</w:t>
      </w:r>
      <w:r>
        <w:rPr>
          <w:rFonts w:hint="eastAsia" w:eastAsia="仿宋_GB2312"/>
          <w:color w:val="auto"/>
          <w:highlight w:val="none"/>
        </w:rPr>
        <w:t>，构建便捷、高效的公共交通一体化网络。推进供排水一体化，搞好供排水管网规划设计，推进市政管网改造和县城周边村的供水管网建设，研究出台农村饮水补贴政策，逐步推进乡镇集中供水。推进环卫一体化，加快乡镇垃圾转运站建设，加大对保洁公司的监管力度，确保清运机制有效运转、保洁效果长效保持。推进消防一体化，统筹规划布局城乡消防基础设施，推动城乡消防公共设施建设维护管理一体化发展。</w:t>
      </w:r>
    </w:p>
    <w:p w14:paraId="3E6B9C1D">
      <w:pPr>
        <w:pStyle w:val="9"/>
        <w:rPr>
          <w:color w:val="auto"/>
        </w:rPr>
      </w:pPr>
    </w:p>
    <w:bookmarkEnd w:id="441"/>
    <w:tbl>
      <w:tblPr>
        <w:tblStyle w:val="17"/>
        <w:tblpPr w:leftFromText="180" w:rightFromText="180" w:vertAnchor="text" w:horzAnchor="page" w:tblpX="1760" w:tblpY="50"/>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60A0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0" w:type="dxa"/>
          </w:tcPr>
          <w:p w14:paraId="394A601D">
            <w:pPr>
              <w:spacing w:line="360" w:lineRule="exact"/>
              <w:jc w:val="center"/>
              <w:rPr>
                <w:color w:val="auto"/>
                <w:sz w:val="24"/>
                <w:szCs w:val="24"/>
                <w:highlight w:val="none"/>
              </w:rPr>
            </w:pPr>
            <w:r>
              <w:rPr>
                <w:rFonts w:hint="eastAsia" w:eastAsia="黑体"/>
                <w:color w:val="auto"/>
                <w:sz w:val="24"/>
                <w:szCs w:val="24"/>
                <w:highlight w:val="none"/>
              </w:rPr>
              <w:t>专栏</w:t>
            </w:r>
            <w:r>
              <w:rPr>
                <w:rFonts w:hint="eastAsia" w:eastAsia="黑体"/>
                <w:color w:val="auto"/>
                <w:sz w:val="24"/>
                <w:szCs w:val="24"/>
                <w:highlight w:val="none"/>
                <w:lang w:val="en-US" w:eastAsia="zh-CN"/>
              </w:rPr>
              <w:t>7</w:t>
            </w:r>
            <w:r>
              <w:rPr>
                <w:rFonts w:hint="eastAsia" w:eastAsia="黑体"/>
                <w:color w:val="auto"/>
                <w:sz w:val="24"/>
                <w:szCs w:val="24"/>
                <w:highlight w:val="none"/>
              </w:rPr>
              <w:t>：新型城镇化建设</w:t>
            </w:r>
          </w:p>
        </w:tc>
      </w:tr>
      <w:tr w14:paraId="0A22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00" w:type="dxa"/>
          </w:tcPr>
          <w:p w14:paraId="07F876BF">
            <w:pPr>
              <w:spacing w:line="320" w:lineRule="exact"/>
              <w:ind w:firstLine="422" w:firstLineChars="200"/>
              <w:rPr>
                <w:rFonts w:eastAsia="宋体"/>
                <w:bCs/>
                <w:color w:val="auto"/>
                <w:sz w:val="21"/>
                <w:szCs w:val="21"/>
                <w:highlight w:val="none"/>
              </w:rPr>
            </w:pPr>
            <w:r>
              <w:rPr>
                <w:rFonts w:eastAsia="宋体"/>
                <w:b/>
                <w:color w:val="auto"/>
                <w:sz w:val="21"/>
                <w:szCs w:val="21"/>
                <w:highlight w:val="none"/>
              </w:rPr>
              <w:t>1.</w:t>
            </w:r>
            <w:r>
              <w:rPr>
                <w:rFonts w:hint="eastAsia" w:eastAsia="宋体"/>
                <w:b/>
                <w:color w:val="auto"/>
                <w:sz w:val="21"/>
                <w:szCs w:val="21"/>
                <w:highlight w:val="none"/>
              </w:rPr>
              <w:t>公交。</w:t>
            </w:r>
            <w:r>
              <w:rPr>
                <w:rFonts w:hint="eastAsia" w:eastAsia="宋体"/>
                <w:bCs/>
                <w:color w:val="auto"/>
                <w:sz w:val="21"/>
                <w:szCs w:val="21"/>
                <w:highlight w:val="none"/>
              </w:rPr>
              <w:t>公交示范城市场站建设。</w:t>
            </w:r>
          </w:p>
          <w:p w14:paraId="28B28816">
            <w:pPr>
              <w:spacing w:line="320" w:lineRule="exact"/>
              <w:ind w:firstLine="422" w:firstLineChars="200"/>
              <w:rPr>
                <w:rFonts w:eastAsia="宋体"/>
                <w:bCs/>
                <w:color w:val="auto"/>
                <w:sz w:val="21"/>
                <w:szCs w:val="21"/>
                <w:highlight w:val="none"/>
              </w:rPr>
            </w:pPr>
            <w:r>
              <w:rPr>
                <w:rFonts w:eastAsia="宋体"/>
                <w:b/>
                <w:color w:val="auto"/>
                <w:sz w:val="21"/>
                <w:szCs w:val="21"/>
                <w:highlight w:val="none"/>
              </w:rPr>
              <w:t>2.</w:t>
            </w:r>
            <w:r>
              <w:rPr>
                <w:rFonts w:hint="eastAsia" w:eastAsia="宋体"/>
                <w:b/>
                <w:color w:val="auto"/>
                <w:sz w:val="21"/>
                <w:szCs w:val="21"/>
                <w:highlight w:val="none"/>
              </w:rPr>
              <w:t>城市路网。</w:t>
            </w:r>
            <w:r>
              <w:rPr>
                <w:rFonts w:hint="eastAsia" w:eastAsia="宋体"/>
                <w:bCs/>
                <w:color w:val="auto"/>
                <w:sz w:val="21"/>
                <w:szCs w:val="21"/>
                <w:highlight w:val="none"/>
              </w:rPr>
              <w:t>市本级进行火车站北站房北广场及周边、民族路、西港路、北环路、峨眉山路、龙海大道、黑龙江道、秦皇东大街、东港路、燕山大街、红旗路、河北大街路段道路改造及公共停车场建设工程</w:t>
            </w:r>
            <w:r>
              <w:rPr>
                <w:rFonts w:eastAsia="宋体"/>
                <w:bCs/>
                <w:color w:val="auto"/>
                <w:sz w:val="21"/>
                <w:szCs w:val="21"/>
                <w:highlight w:val="none"/>
              </w:rPr>
              <w:t>16</w:t>
            </w:r>
            <w:r>
              <w:rPr>
                <w:rFonts w:hint="eastAsia" w:eastAsia="宋体"/>
                <w:bCs/>
                <w:color w:val="auto"/>
                <w:sz w:val="21"/>
                <w:szCs w:val="21"/>
                <w:highlight w:val="none"/>
              </w:rPr>
              <w:t>项；海港区道路建设工程</w:t>
            </w:r>
            <w:r>
              <w:rPr>
                <w:rFonts w:eastAsia="宋体"/>
                <w:bCs/>
                <w:color w:val="auto"/>
                <w:sz w:val="21"/>
                <w:szCs w:val="21"/>
                <w:highlight w:val="none"/>
              </w:rPr>
              <w:t>42</w:t>
            </w:r>
            <w:r>
              <w:rPr>
                <w:rFonts w:hint="eastAsia" w:eastAsia="宋体"/>
                <w:bCs/>
                <w:color w:val="auto"/>
                <w:sz w:val="21"/>
                <w:szCs w:val="21"/>
                <w:highlight w:val="none"/>
              </w:rPr>
              <w:t>项，北戴河区道路建设工程</w:t>
            </w:r>
            <w:r>
              <w:rPr>
                <w:rFonts w:eastAsia="宋体"/>
                <w:bCs/>
                <w:color w:val="auto"/>
                <w:sz w:val="21"/>
                <w:szCs w:val="21"/>
                <w:highlight w:val="none"/>
              </w:rPr>
              <w:t>2</w:t>
            </w:r>
            <w:r>
              <w:rPr>
                <w:rFonts w:hint="eastAsia" w:eastAsia="宋体"/>
                <w:bCs/>
                <w:color w:val="auto"/>
                <w:sz w:val="21"/>
                <w:szCs w:val="21"/>
                <w:highlight w:val="none"/>
              </w:rPr>
              <w:t>项，山海关区道路建设工程</w:t>
            </w:r>
            <w:r>
              <w:rPr>
                <w:rFonts w:eastAsia="宋体"/>
                <w:bCs/>
                <w:color w:val="auto"/>
                <w:sz w:val="21"/>
                <w:szCs w:val="21"/>
                <w:highlight w:val="none"/>
              </w:rPr>
              <w:t>15</w:t>
            </w:r>
            <w:r>
              <w:rPr>
                <w:rFonts w:hint="eastAsia" w:eastAsia="宋体"/>
                <w:bCs/>
                <w:color w:val="auto"/>
                <w:sz w:val="21"/>
                <w:szCs w:val="21"/>
                <w:highlight w:val="none"/>
              </w:rPr>
              <w:t>项，抚宁区道路建设工程</w:t>
            </w:r>
            <w:r>
              <w:rPr>
                <w:rFonts w:eastAsia="宋体"/>
                <w:bCs/>
                <w:color w:val="auto"/>
                <w:sz w:val="21"/>
                <w:szCs w:val="21"/>
                <w:highlight w:val="none"/>
              </w:rPr>
              <w:t>10</w:t>
            </w:r>
            <w:r>
              <w:rPr>
                <w:rFonts w:hint="eastAsia" w:eastAsia="宋体"/>
                <w:bCs/>
                <w:color w:val="auto"/>
                <w:sz w:val="21"/>
                <w:szCs w:val="21"/>
                <w:highlight w:val="none"/>
              </w:rPr>
              <w:t>项，开发区道路建设工程</w:t>
            </w:r>
            <w:r>
              <w:rPr>
                <w:rFonts w:eastAsia="宋体"/>
                <w:bCs/>
                <w:color w:val="auto"/>
                <w:sz w:val="21"/>
                <w:szCs w:val="21"/>
                <w:highlight w:val="none"/>
              </w:rPr>
              <w:t>5</w:t>
            </w:r>
            <w:r>
              <w:rPr>
                <w:rFonts w:hint="eastAsia" w:eastAsia="宋体"/>
                <w:bCs/>
                <w:color w:val="auto"/>
                <w:sz w:val="21"/>
                <w:szCs w:val="21"/>
                <w:highlight w:val="none"/>
              </w:rPr>
              <w:t>项，北戴河新区道路建设工程</w:t>
            </w:r>
            <w:r>
              <w:rPr>
                <w:rFonts w:eastAsia="宋体"/>
                <w:bCs/>
                <w:color w:val="auto"/>
                <w:sz w:val="21"/>
                <w:szCs w:val="21"/>
                <w:highlight w:val="none"/>
              </w:rPr>
              <w:t>18</w:t>
            </w:r>
            <w:r>
              <w:rPr>
                <w:rFonts w:hint="eastAsia" w:eastAsia="宋体"/>
                <w:bCs/>
                <w:color w:val="auto"/>
                <w:sz w:val="21"/>
                <w:szCs w:val="21"/>
                <w:highlight w:val="none"/>
              </w:rPr>
              <w:t>项，昌黎县道路建设工程</w:t>
            </w:r>
            <w:r>
              <w:rPr>
                <w:rFonts w:eastAsia="宋体"/>
                <w:bCs/>
                <w:color w:val="auto"/>
                <w:sz w:val="21"/>
                <w:szCs w:val="21"/>
                <w:highlight w:val="none"/>
              </w:rPr>
              <w:t>9</w:t>
            </w:r>
            <w:r>
              <w:rPr>
                <w:rFonts w:hint="eastAsia" w:eastAsia="宋体"/>
                <w:bCs/>
                <w:color w:val="auto"/>
                <w:sz w:val="21"/>
                <w:szCs w:val="21"/>
                <w:highlight w:val="none"/>
              </w:rPr>
              <w:t>项，卢龙县道路建设工程</w:t>
            </w:r>
            <w:r>
              <w:rPr>
                <w:rFonts w:eastAsia="宋体"/>
                <w:bCs/>
                <w:color w:val="auto"/>
                <w:sz w:val="21"/>
                <w:szCs w:val="21"/>
                <w:highlight w:val="none"/>
              </w:rPr>
              <w:t>11</w:t>
            </w:r>
            <w:r>
              <w:rPr>
                <w:rFonts w:hint="eastAsia" w:eastAsia="宋体"/>
                <w:bCs/>
                <w:color w:val="auto"/>
                <w:sz w:val="21"/>
                <w:szCs w:val="21"/>
                <w:highlight w:val="none"/>
              </w:rPr>
              <w:t>项，</w:t>
            </w:r>
            <w:r>
              <w:rPr>
                <w:rFonts w:hint="eastAsia" w:eastAsia="宋体"/>
                <w:bCs/>
                <w:color w:val="auto"/>
                <w:sz w:val="21"/>
                <w:szCs w:val="21"/>
                <w:highlight w:val="none"/>
                <w:lang w:eastAsia="zh-CN"/>
              </w:rPr>
              <w:t>青龙满族自治县</w:t>
            </w:r>
            <w:r>
              <w:rPr>
                <w:rFonts w:hint="eastAsia" w:eastAsia="宋体"/>
                <w:bCs/>
                <w:color w:val="auto"/>
                <w:sz w:val="21"/>
                <w:szCs w:val="21"/>
                <w:highlight w:val="none"/>
              </w:rPr>
              <w:t>道路建设工程</w:t>
            </w:r>
            <w:r>
              <w:rPr>
                <w:rFonts w:eastAsia="宋体"/>
                <w:bCs/>
                <w:color w:val="auto"/>
                <w:sz w:val="21"/>
                <w:szCs w:val="21"/>
                <w:highlight w:val="none"/>
              </w:rPr>
              <w:t>2</w:t>
            </w:r>
            <w:r>
              <w:rPr>
                <w:rFonts w:hint="eastAsia" w:eastAsia="宋体"/>
                <w:bCs/>
                <w:color w:val="auto"/>
                <w:sz w:val="21"/>
                <w:szCs w:val="21"/>
                <w:highlight w:val="none"/>
              </w:rPr>
              <w:t>项。</w:t>
            </w:r>
          </w:p>
          <w:p w14:paraId="266E55AF">
            <w:pPr>
              <w:spacing w:line="320" w:lineRule="exact"/>
              <w:ind w:firstLine="422" w:firstLineChars="200"/>
              <w:rPr>
                <w:rFonts w:hint="eastAsia" w:eastAsia="宋体"/>
                <w:bCs/>
                <w:color w:val="auto"/>
                <w:sz w:val="21"/>
                <w:szCs w:val="21"/>
                <w:highlight w:val="none"/>
              </w:rPr>
            </w:pPr>
            <w:r>
              <w:rPr>
                <w:rFonts w:eastAsia="宋体"/>
                <w:b/>
                <w:color w:val="auto"/>
                <w:sz w:val="21"/>
                <w:szCs w:val="21"/>
                <w:highlight w:val="none"/>
              </w:rPr>
              <w:t>3.</w:t>
            </w:r>
            <w:r>
              <w:rPr>
                <w:rFonts w:hint="eastAsia" w:eastAsia="宋体"/>
                <w:b/>
                <w:color w:val="auto"/>
                <w:sz w:val="21"/>
                <w:szCs w:val="21"/>
                <w:highlight w:val="none"/>
              </w:rPr>
              <w:t>片区开发完善提升。</w:t>
            </w:r>
            <w:r>
              <w:rPr>
                <w:rFonts w:hint="eastAsia" w:eastAsia="宋体"/>
                <w:bCs/>
                <w:color w:val="auto"/>
                <w:sz w:val="21"/>
                <w:szCs w:val="21"/>
                <w:highlight w:val="none"/>
              </w:rPr>
              <w:t>改造227个老旧小区，其中城区161个、县城66个</w:t>
            </w:r>
            <w:r>
              <w:rPr>
                <w:rFonts w:hint="eastAsia" w:eastAsia="宋体"/>
                <w:bCs/>
                <w:color w:val="auto"/>
                <w:sz w:val="21"/>
                <w:szCs w:val="21"/>
                <w:highlight w:val="none"/>
                <w:lang w:eastAsia="zh-CN"/>
              </w:rPr>
              <w:t>，重点推进河东片区、东港里片区、新兴里片区、康乐里片区、市政院片区、矿院里片区、育红里片区、滨河路片区等八大片区打捆改造；新开发建设和完善六大重点片区，西港片区全面启动，金梦海湾片区趋于完善，西部片区基本完成，火车站片区初步成型，海阳片区发挥功能效应，新开河口片区初见成效</w:t>
            </w:r>
            <w:r>
              <w:rPr>
                <w:rFonts w:hint="eastAsia" w:eastAsia="宋体"/>
                <w:bCs/>
                <w:color w:val="auto"/>
                <w:sz w:val="21"/>
                <w:szCs w:val="21"/>
                <w:highlight w:val="none"/>
              </w:rPr>
              <w:t>。</w:t>
            </w:r>
          </w:p>
          <w:p w14:paraId="722EE473">
            <w:pPr>
              <w:spacing w:line="320" w:lineRule="exact"/>
              <w:ind w:firstLine="422" w:firstLineChars="200"/>
              <w:rPr>
                <w:rFonts w:eastAsia="宋体"/>
                <w:b/>
                <w:color w:val="auto"/>
                <w:sz w:val="21"/>
                <w:szCs w:val="21"/>
                <w:highlight w:val="none"/>
              </w:rPr>
            </w:pPr>
            <w:r>
              <w:rPr>
                <w:rFonts w:eastAsia="宋体"/>
                <w:b/>
                <w:color w:val="auto"/>
                <w:sz w:val="21"/>
                <w:szCs w:val="21"/>
                <w:highlight w:val="none"/>
              </w:rPr>
              <w:t>4.</w:t>
            </w:r>
            <w:r>
              <w:rPr>
                <w:rFonts w:hint="eastAsia" w:eastAsia="宋体"/>
                <w:b/>
                <w:color w:val="auto"/>
                <w:sz w:val="21"/>
                <w:szCs w:val="21"/>
                <w:highlight w:val="none"/>
              </w:rPr>
              <w:t>棚户区改造。</w:t>
            </w:r>
            <w:r>
              <w:rPr>
                <w:rFonts w:hint="eastAsia" w:eastAsia="宋体"/>
                <w:bCs/>
                <w:color w:val="auto"/>
                <w:sz w:val="21"/>
                <w:szCs w:val="21"/>
                <w:highlight w:val="none"/>
              </w:rPr>
              <w:t>涉及棚户区改造配套基础设施建设项目</w:t>
            </w:r>
            <w:r>
              <w:rPr>
                <w:rFonts w:eastAsia="宋体"/>
                <w:bCs/>
                <w:color w:val="auto"/>
                <w:sz w:val="21"/>
                <w:szCs w:val="21"/>
                <w:highlight w:val="none"/>
              </w:rPr>
              <w:t>33</w:t>
            </w:r>
            <w:r>
              <w:rPr>
                <w:rFonts w:hint="eastAsia" w:eastAsia="宋体"/>
                <w:bCs/>
                <w:color w:val="auto"/>
                <w:sz w:val="21"/>
                <w:szCs w:val="21"/>
                <w:highlight w:val="none"/>
              </w:rPr>
              <w:t>个，其中市本级</w:t>
            </w:r>
            <w:r>
              <w:rPr>
                <w:rFonts w:eastAsia="宋体"/>
                <w:bCs/>
                <w:color w:val="auto"/>
                <w:sz w:val="21"/>
                <w:szCs w:val="21"/>
                <w:highlight w:val="none"/>
              </w:rPr>
              <w:t>15</w:t>
            </w:r>
            <w:r>
              <w:rPr>
                <w:rFonts w:hint="eastAsia" w:eastAsia="宋体"/>
                <w:bCs/>
                <w:color w:val="auto"/>
                <w:sz w:val="21"/>
                <w:szCs w:val="21"/>
                <w:highlight w:val="none"/>
              </w:rPr>
              <w:t>个、海港区</w:t>
            </w:r>
            <w:r>
              <w:rPr>
                <w:rFonts w:eastAsia="宋体"/>
                <w:bCs/>
                <w:color w:val="auto"/>
                <w:sz w:val="21"/>
                <w:szCs w:val="21"/>
                <w:highlight w:val="none"/>
              </w:rPr>
              <w:t>10</w:t>
            </w:r>
            <w:r>
              <w:rPr>
                <w:rFonts w:hint="eastAsia" w:eastAsia="宋体"/>
                <w:bCs/>
                <w:color w:val="auto"/>
                <w:sz w:val="21"/>
                <w:szCs w:val="21"/>
                <w:highlight w:val="none"/>
              </w:rPr>
              <w:t>个、北戴河区</w:t>
            </w:r>
            <w:r>
              <w:rPr>
                <w:rFonts w:eastAsia="宋体"/>
                <w:bCs/>
                <w:color w:val="auto"/>
                <w:sz w:val="21"/>
                <w:szCs w:val="21"/>
                <w:highlight w:val="none"/>
              </w:rPr>
              <w:t>3</w:t>
            </w:r>
            <w:r>
              <w:rPr>
                <w:rFonts w:hint="eastAsia" w:eastAsia="宋体"/>
                <w:bCs/>
                <w:color w:val="auto"/>
                <w:sz w:val="21"/>
                <w:szCs w:val="21"/>
                <w:highlight w:val="none"/>
              </w:rPr>
              <w:t>个、抚宁区</w:t>
            </w:r>
            <w:r>
              <w:rPr>
                <w:rFonts w:eastAsia="宋体"/>
                <w:bCs/>
                <w:color w:val="auto"/>
                <w:sz w:val="21"/>
                <w:szCs w:val="21"/>
                <w:highlight w:val="none"/>
              </w:rPr>
              <w:t>2</w:t>
            </w:r>
            <w:r>
              <w:rPr>
                <w:rFonts w:hint="eastAsia" w:eastAsia="宋体"/>
                <w:bCs/>
                <w:color w:val="auto"/>
                <w:sz w:val="21"/>
                <w:szCs w:val="21"/>
                <w:highlight w:val="none"/>
              </w:rPr>
              <w:t>个、山海关区</w:t>
            </w:r>
            <w:r>
              <w:rPr>
                <w:rFonts w:eastAsia="宋体"/>
                <w:bCs/>
                <w:color w:val="auto"/>
                <w:sz w:val="21"/>
                <w:szCs w:val="21"/>
                <w:highlight w:val="none"/>
              </w:rPr>
              <w:t>1</w:t>
            </w:r>
            <w:r>
              <w:rPr>
                <w:rFonts w:hint="eastAsia" w:eastAsia="宋体"/>
                <w:bCs/>
                <w:color w:val="auto"/>
                <w:sz w:val="21"/>
                <w:szCs w:val="21"/>
                <w:highlight w:val="none"/>
              </w:rPr>
              <w:t>个、昌黎县</w:t>
            </w:r>
            <w:r>
              <w:rPr>
                <w:rFonts w:eastAsia="宋体"/>
                <w:bCs/>
                <w:color w:val="auto"/>
                <w:sz w:val="21"/>
                <w:szCs w:val="21"/>
                <w:highlight w:val="none"/>
              </w:rPr>
              <w:t>2</w:t>
            </w:r>
            <w:r>
              <w:rPr>
                <w:rFonts w:hint="eastAsia" w:eastAsia="宋体"/>
                <w:bCs/>
                <w:color w:val="auto"/>
                <w:sz w:val="21"/>
                <w:szCs w:val="21"/>
                <w:highlight w:val="none"/>
              </w:rPr>
              <w:t>个。</w:t>
            </w:r>
          </w:p>
          <w:p w14:paraId="417BC61D">
            <w:pPr>
              <w:spacing w:line="320" w:lineRule="exact"/>
              <w:ind w:firstLine="422" w:firstLineChars="200"/>
              <w:rPr>
                <w:rFonts w:eastAsia="宋体"/>
                <w:bCs/>
                <w:color w:val="auto"/>
                <w:sz w:val="21"/>
                <w:szCs w:val="21"/>
                <w:highlight w:val="none"/>
              </w:rPr>
            </w:pPr>
            <w:r>
              <w:rPr>
                <w:rFonts w:eastAsia="宋体"/>
                <w:b/>
                <w:color w:val="auto"/>
                <w:sz w:val="21"/>
                <w:szCs w:val="21"/>
                <w:highlight w:val="none"/>
              </w:rPr>
              <w:t>5.</w:t>
            </w:r>
            <w:r>
              <w:rPr>
                <w:rFonts w:hint="eastAsia" w:eastAsia="宋体"/>
                <w:b/>
                <w:color w:val="auto"/>
                <w:sz w:val="21"/>
                <w:szCs w:val="21"/>
                <w:highlight w:val="none"/>
              </w:rPr>
              <w:t>城中村改造。</w:t>
            </w:r>
            <w:r>
              <w:rPr>
                <w:rFonts w:hint="eastAsia" w:eastAsia="宋体"/>
                <w:bCs/>
                <w:color w:val="auto"/>
                <w:sz w:val="21"/>
                <w:szCs w:val="21"/>
                <w:highlight w:val="none"/>
              </w:rPr>
              <w:t>实施城中村改造项目</w:t>
            </w:r>
            <w:r>
              <w:rPr>
                <w:rFonts w:eastAsia="宋体"/>
                <w:bCs/>
                <w:color w:val="auto"/>
                <w:sz w:val="21"/>
                <w:szCs w:val="21"/>
                <w:highlight w:val="none"/>
              </w:rPr>
              <w:t>5</w:t>
            </w:r>
            <w:r>
              <w:rPr>
                <w:rFonts w:hint="eastAsia" w:eastAsia="宋体"/>
                <w:bCs/>
                <w:color w:val="auto"/>
                <w:sz w:val="21"/>
                <w:szCs w:val="21"/>
                <w:highlight w:val="none"/>
              </w:rPr>
              <w:t>个，其中海港区</w:t>
            </w:r>
            <w:r>
              <w:rPr>
                <w:rFonts w:eastAsia="宋体"/>
                <w:bCs/>
                <w:color w:val="auto"/>
                <w:sz w:val="21"/>
                <w:szCs w:val="21"/>
                <w:highlight w:val="none"/>
              </w:rPr>
              <w:t>4</w:t>
            </w:r>
            <w:r>
              <w:rPr>
                <w:rFonts w:hint="eastAsia" w:eastAsia="宋体"/>
                <w:bCs/>
                <w:color w:val="auto"/>
                <w:sz w:val="21"/>
                <w:szCs w:val="21"/>
                <w:highlight w:val="none"/>
              </w:rPr>
              <w:t>个、抚宁区</w:t>
            </w:r>
            <w:r>
              <w:rPr>
                <w:rFonts w:eastAsia="宋体"/>
                <w:bCs/>
                <w:color w:val="auto"/>
                <w:sz w:val="21"/>
                <w:szCs w:val="21"/>
                <w:highlight w:val="none"/>
              </w:rPr>
              <w:t>1</w:t>
            </w:r>
            <w:r>
              <w:rPr>
                <w:rFonts w:hint="eastAsia" w:eastAsia="宋体"/>
                <w:bCs/>
                <w:color w:val="auto"/>
                <w:sz w:val="21"/>
                <w:szCs w:val="21"/>
                <w:highlight w:val="none"/>
              </w:rPr>
              <w:t>个。</w:t>
            </w:r>
          </w:p>
          <w:p w14:paraId="587599E5">
            <w:pPr>
              <w:spacing w:line="320" w:lineRule="exact"/>
              <w:ind w:firstLine="422" w:firstLineChars="200"/>
              <w:rPr>
                <w:rFonts w:eastAsia="宋体"/>
                <w:bCs/>
                <w:color w:val="auto"/>
                <w:sz w:val="21"/>
                <w:szCs w:val="21"/>
                <w:highlight w:val="none"/>
              </w:rPr>
            </w:pPr>
            <w:r>
              <w:rPr>
                <w:rFonts w:eastAsia="宋体"/>
                <w:b/>
                <w:color w:val="auto"/>
                <w:sz w:val="21"/>
                <w:szCs w:val="21"/>
                <w:highlight w:val="none"/>
              </w:rPr>
              <w:t>6.</w:t>
            </w:r>
            <w:r>
              <w:rPr>
                <w:rFonts w:hint="eastAsia" w:eastAsia="宋体"/>
                <w:b/>
                <w:color w:val="auto"/>
                <w:sz w:val="21"/>
                <w:szCs w:val="21"/>
                <w:highlight w:val="none"/>
              </w:rPr>
              <w:t>污水处理。</w:t>
            </w:r>
            <w:r>
              <w:rPr>
                <w:rFonts w:hint="eastAsia" w:eastAsia="宋体"/>
                <w:bCs/>
                <w:color w:val="auto"/>
                <w:sz w:val="21"/>
                <w:szCs w:val="21"/>
                <w:highlight w:val="none"/>
              </w:rPr>
              <w:t>秦皇岛市老旧排水管网改扩建，北戴河新区团林第二污水处理厂、海港区北部片区污水处理厂、开发区东区</w:t>
            </w:r>
            <w:r>
              <w:rPr>
                <w:rFonts w:eastAsia="宋体"/>
                <w:bCs/>
                <w:color w:val="auto"/>
                <w:sz w:val="21"/>
                <w:szCs w:val="21"/>
                <w:highlight w:val="none"/>
              </w:rPr>
              <w:t>9</w:t>
            </w:r>
            <w:r>
              <w:rPr>
                <w:rFonts w:hint="eastAsia" w:eastAsia="宋体"/>
                <w:bCs/>
                <w:color w:val="auto"/>
                <w:sz w:val="21"/>
                <w:szCs w:val="21"/>
                <w:highlight w:val="none"/>
              </w:rPr>
              <w:t>号污水处理厂、第六污水处理厂等</w:t>
            </w:r>
            <w:r>
              <w:rPr>
                <w:rFonts w:eastAsia="宋体"/>
                <w:bCs/>
                <w:color w:val="auto"/>
                <w:sz w:val="21"/>
                <w:szCs w:val="21"/>
                <w:highlight w:val="none"/>
              </w:rPr>
              <w:t>7</w:t>
            </w:r>
            <w:r>
              <w:rPr>
                <w:rFonts w:hint="eastAsia" w:eastAsia="宋体"/>
                <w:bCs/>
                <w:color w:val="auto"/>
                <w:sz w:val="21"/>
                <w:szCs w:val="21"/>
                <w:highlight w:val="none"/>
              </w:rPr>
              <w:t>个污水处理厂扩容提标改造，抚宁区榆关镇、台营、大新寨镇污水处理工程及昌黎县小城镇污水处理设施工程。</w:t>
            </w:r>
          </w:p>
          <w:p w14:paraId="6C40724D">
            <w:pPr>
              <w:spacing w:line="320" w:lineRule="exact"/>
              <w:ind w:firstLine="422" w:firstLineChars="200"/>
              <w:rPr>
                <w:rFonts w:eastAsia="宋体"/>
                <w:bCs/>
                <w:color w:val="auto"/>
                <w:sz w:val="21"/>
                <w:szCs w:val="21"/>
                <w:highlight w:val="none"/>
              </w:rPr>
            </w:pPr>
            <w:r>
              <w:rPr>
                <w:rFonts w:eastAsia="宋体"/>
                <w:b/>
                <w:color w:val="auto"/>
                <w:sz w:val="21"/>
                <w:szCs w:val="21"/>
                <w:highlight w:val="none"/>
              </w:rPr>
              <w:t>7.</w:t>
            </w:r>
            <w:r>
              <w:rPr>
                <w:rFonts w:hint="eastAsia" w:eastAsia="宋体"/>
                <w:b/>
                <w:color w:val="auto"/>
                <w:sz w:val="21"/>
                <w:szCs w:val="21"/>
                <w:highlight w:val="none"/>
              </w:rPr>
              <w:t>垃圾处理。</w:t>
            </w:r>
            <w:r>
              <w:rPr>
                <w:rFonts w:hint="eastAsia" w:eastAsia="宋体"/>
                <w:bCs/>
                <w:color w:val="auto"/>
                <w:sz w:val="21"/>
                <w:szCs w:val="21"/>
                <w:highlight w:val="none"/>
              </w:rPr>
              <w:t>秦皇岛西部生活垃圾焚烧发电、北戴河区暑期城市生活垃圾分类处理、卢龙县生活垃圾无害化处理及焚烧发电、</w:t>
            </w:r>
            <w:r>
              <w:rPr>
                <w:rFonts w:hint="eastAsia" w:eastAsia="宋体"/>
                <w:bCs/>
                <w:color w:val="auto"/>
                <w:sz w:val="21"/>
                <w:szCs w:val="21"/>
                <w:highlight w:val="none"/>
                <w:lang w:eastAsia="zh-CN"/>
              </w:rPr>
              <w:t>青龙满族自治县</w:t>
            </w:r>
            <w:r>
              <w:rPr>
                <w:rFonts w:hint="eastAsia" w:eastAsia="宋体"/>
                <w:bCs/>
                <w:color w:val="auto"/>
                <w:sz w:val="21"/>
                <w:szCs w:val="21"/>
                <w:highlight w:val="none"/>
              </w:rPr>
              <w:t>生活垃圾无害化处理等项目。</w:t>
            </w:r>
          </w:p>
          <w:p w14:paraId="401CA1B0">
            <w:pPr>
              <w:spacing w:line="320" w:lineRule="exact"/>
              <w:ind w:firstLine="422" w:firstLineChars="200"/>
              <w:rPr>
                <w:color w:val="auto"/>
                <w:highlight w:val="none"/>
              </w:rPr>
            </w:pPr>
            <w:r>
              <w:rPr>
                <w:rFonts w:eastAsia="宋体"/>
                <w:b/>
                <w:color w:val="auto"/>
                <w:sz w:val="21"/>
                <w:szCs w:val="21"/>
                <w:highlight w:val="none"/>
              </w:rPr>
              <w:t>8.</w:t>
            </w:r>
            <w:r>
              <w:rPr>
                <w:rFonts w:hint="eastAsia" w:eastAsia="宋体"/>
                <w:b/>
                <w:color w:val="auto"/>
                <w:sz w:val="21"/>
                <w:szCs w:val="21"/>
                <w:highlight w:val="none"/>
              </w:rPr>
              <w:t>供水。</w:t>
            </w:r>
            <w:r>
              <w:rPr>
                <w:rFonts w:hint="eastAsia" w:eastAsia="宋体"/>
                <w:bCs/>
                <w:color w:val="auto"/>
                <w:sz w:val="21"/>
                <w:szCs w:val="21"/>
                <w:highlight w:val="none"/>
              </w:rPr>
              <w:t>建设北部新水厂、卢龙县第二水厂。</w:t>
            </w:r>
          </w:p>
        </w:tc>
      </w:tr>
    </w:tbl>
    <w:p w14:paraId="778CCBC2">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jc w:val="center"/>
        <w:textAlignment w:val="auto"/>
        <w:outlineLvl w:val="0"/>
        <w:rPr>
          <w:rFonts w:eastAsia="宋体"/>
          <w:b/>
          <w:color w:val="auto"/>
          <w:sz w:val="36"/>
          <w:szCs w:val="36"/>
          <w:highlight w:val="none"/>
        </w:rPr>
      </w:pPr>
      <w:bookmarkStart w:id="494" w:name="_Toc20976"/>
      <w:bookmarkStart w:id="495" w:name="_Toc16070"/>
      <w:bookmarkStart w:id="496" w:name="_Toc15547"/>
      <w:bookmarkStart w:id="497" w:name="_Toc5894"/>
      <w:bookmarkStart w:id="498" w:name="_Toc3068"/>
      <w:bookmarkStart w:id="499" w:name="_Toc2920"/>
      <w:bookmarkStart w:id="500" w:name="_Toc29857"/>
      <w:bookmarkStart w:id="501" w:name="_Toc1230"/>
      <w:r>
        <w:rPr>
          <w:rFonts w:hint="eastAsia" w:eastAsia="宋体"/>
          <w:b/>
          <w:color w:val="auto"/>
          <w:sz w:val="36"/>
          <w:szCs w:val="36"/>
          <w:highlight w:val="none"/>
        </w:rPr>
        <w:t>第九章</w:t>
      </w:r>
      <w:bookmarkEnd w:id="494"/>
      <w:bookmarkEnd w:id="495"/>
      <w:bookmarkEnd w:id="496"/>
      <w:bookmarkEnd w:id="497"/>
      <w:bookmarkEnd w:id="498"/>
      <w:r>
        <w:rPr>
          <w:rFonts w:hint="eastAsia" w:eastAsia="宋体"/>
          <w:b/>
          <w:color w:val="auto"/>
          <w:sz w:val="36"/>
          <w:szCs w:val="36"/>
          <w:highlight w:val="none"/>
        </w:rPr>
        <w:t>　</w:t>
      </w:r>
      <w:bookmarkEnd w:id="499"/>
      <w:bookmarkEnd w:id="500"/>
      <w:r>
        <w:rPr>
          <w:rFonts w:hint="eastAsia" w:eastAsia="宋体"/>
          <w:b/>
          <w:color w:val="auto"/>
          <w:sz w:val="36"/>
          <w:szCs w:val="36"/>
          <w:highlight w:val="none"/>
        </w:rPr>
        <w:t>加强生态环境建设和环境保护，推动绿色发展和谐共生</w:t>
      </w:r>
      <w:bookmarkEnd w:id="501"/>
    </w:p>
    <w:p w14:paraId="124A5EF4">
      <w:pPr>
        <w:spacing w:line="560" w:lineRule="exact"/>
        <w:ind w:firstLine="640" w:firstLineChars="200"/>
        <w:rPr>
          <w:rFonts w:eastAsia="仿宋_GB2312"/>
          <w:color w:val="auto"/>
          <w:highlight w:val="none"/>
        </w:rPr>
      </w:pPr>
      <w:r>
        <w:rPr>
          <w:rFonts w:hint="eastAsia" w:eastAsia="仿宋_GB2312"/>
          <w:color w:val="auto"/>
          <w:highlight w:val="none"/>
        </w:rPr>
        <w:t>深入贯彻习近平生态文明思想，统筹经济社会发展和生态环境保护，全面推进生态文明建设，着力落实国家和省关于碳达峰、碳中和的重大决策，坚定不移地走绿色低碳循环发展之路，全面构建以推动绿色发展、改善生态环境质量、保障生态环境安全、维护公众健康为根本出发点的环境治理体系</w:t>
      </w:r>
      <w:r>
        <w:rPr>
          <w:rFonts w:eastAsia="仿宋_GB2312"/>
          <w:color w:val="auto"/>
          <w:highlight w:val="none"/>
        </w:rPr>
        <w:t xml:space="preserve">, </w:t>
      </w:r>
      <w:r>
        <w:rPr>
          <w:rFonts w:hint="eastAsia" w:eastAsia="仿宋_GB2312"/>
          <w:color w:val="auto"/>
          <w:highlight w:val="none"/>
        </w:rPr>
        <w:t>高标准打造京津冀城市群生态标兵城市。</w:t>
      </w:r>
    </w:p>
    <w:p w14:paraId="46121EA2">
      <w:pPr>
        <w:spacing w:line="560" w:lineRule="exact"/>
        <w:ind w:firstLine="646"/>
        <w:outlineLvl w:val="1"/>
        <w:rPr>
          <w:rFonts w:eastAsia="黑体"/>
          <w:color w:val="auto"/>
          <w:highlight w:val="none"/>
        </w:rPr>
      </w:pPr>
      <w:bookmarkStart w:id="502" w:name="_Toc4186"/>
      <w:bookmarkStart w:id="503" w:name="_Toc32116"/>
      <w:bookmarkStart w:id="504" w:name="_Toc4807"/>
      <w:bookmarkStart w:id="505" w:name="_Toc32597"/>
      <w:bookmarkStart w:id="506" w:name="_Toc24764"/>
      <w:bookmarkStart w:id="507" w:name="_Toc10062"/>
      <w:bookmarkStart w:id="508" w:name="_Toc10332"/>
      <w:bookmarkStart w:id="509" w:name="_Toc2669"/>
      <w:bookmarkStart w:id="510" w:name="_Toc32342"/>
      <w:bookmarkStart w:id="511" w:name="_Toc15081"/>
      <w:bookmarkStart w:id="512" w:name="_Toc7580"/>
      <w:bookmarkStart w:id="513" w:name="_Toc30546"/>
      <w:bookmarkStart w:id="514" w:name="_Toc27988"/>
      <w:bookmarkStart w:id="515" w:name="_Toc9520"/>
      <w:bookmarkStart w:id="516" w:name="_Toc7794"/>
      <w:bookmarkStart w:id="517" w:name="_Toc5779"/>
      <w:r>
        <w:rPr>
          <w:rFonts w:hint="eastAsia" w:eastAsia="黑体"/>
          <w:color w:val="auto"/>
          <w:highlight w:val="none"/>
        </w:rPr>
        <w:t>一、</w:t>
      </w:r>
      <w:bookmarkEnd w:id="502"/>
      <w:bookmarkEnd w:id="503"/>
      <w:bookmarkEnd w:id="504"/>
      <w:bookmarkEnd w:id="505"/>
      <w:bookmarkEnd w:id="506"/>
      <w:bookmarkEnd w:id="507"/>
      <w:bookmarkEnd w:id="508"/>
      <w:bookmarkStart w:id="518" w:name="_Toc15347"/>
      <w:bookmarkStart w:id="519" w:name="_Toc22905"/>
      <w:bookmarkStart w:id="520" w:name="_Toc21482"/>
      <w:bookmarkStart w:id="521" w:name="_Toc13678"/>
      <w:bookmarkStart w:id="522" w:name="_Toc19462"/>
      <w:r>
        <w:rPr>
          <w:rFonts w:hint="eastAsia" w:eastAsia="黑体"/>
          <w:color w:val="auto"/>
          <w:highlight w:val="none"/>
        </w:rPr>
        <w:t>推动绿色低碳发展</w:t>
      </w:r>
      <w:bookmarkEnd w:id="509"/>
      <w:bookmarkEnd w:id="510"/>
    </w:p>
    <w:bookmarkEnd w:id="518"/>
    <w:bookmarkEnd w:id="519"/>
    <w:bookmarkEnd w:id="520"/>
    <w:bookmarkEnd w:id="521"/>
    <w:bookmarkEnd w:id="522"/>
    <w:p w14:paraId="155F5DF7">
      <w:pPr>
        <w:spacing w:line="560" w:lineRule="exact"/>
        <w:ind w:firstLine="640" w:firstLineChars="200"/>
        <w:rPr>
          <w:rFonts w:eastAsia="仿宋_GB2312"/>
          <w:color w:val="auto"/>
          <w:highlight w:val="none"/>
        </w:rPr>
      </w:pPr>
      <w:bookmarkStart w:id="523" w:name="_Toc21545"/>
      <w:bookmarkStart w:id="524" w:name="_Toc20280"/>
      <w:bookmarkStart w:id="525" w:name="_Toc7178"/>
      <w:bookmarkStart w:id="526" w:name="_Toc29545"/>
      <w:bookmarkStart w:id="527" w:name="_Toc13751"/>
      <w:bookmarkStart w:id="528" w:name="_Toc1727"/>
      <w:r>
        <w:rPr>
          <w:rFonts w:hint="eastAsia" w:eastAsia="仿宋_GB2312"/>
          <w:color w:val="auto"/>
          <w:highlight w:val="none"/>
        </w:rPr>
        <w:t>践行绿水青山就是金山银山的理念，大力推行清洁生产、绿色生活方式，建立健全绿色低碳循环发展的产业体系，打造绿色发展样板，建设人与自然和谐共生的现代化。</w:t>
      </w:r>
    </w:p>
    <w:p w14:paraId="5247E144">
      <w:pPr>
        <w:spacing w:line="560" w:lineRule="exact"/>
        <w:ind w:firstLine="640" w:firstLineChars="200"/>
        <w:outlineLvl w:val="2"/>
        <w:rPr>
          <w:b w:val="0"/>
          <w:bCs w:val="0"/>
          <w:color w:val="auto"/>
          <w:highlight w:val="none"/>
        </w:rPr>
      </w:pPr>
      <w:bookmarkStart w:id="529" w:name="_Toc9364"/>
      <w:bookmarkStart w:id="530" w:name="_Toc17824"/>
      <w:r>
        <w:rPr>
          <w:rFonts w:hint="eastAsia"/>
          <w:b w:val="0"/>
          <w:bCs w:val="0"/>
          <w:color w:val="auto"/>
          <w:highlight w:val="none"/>
        </w:rPr>
        <w:t>（一）</w:t>
      </w:r>
      <w:r>
        <w:rPr>
          <w:rFonts w:hint="eastAsia"/>
          <w:b w:val="0"/>
          <w:bCs w:val="0"/>
          <w:color w:val="auto"/>
          <w:highlight w:val="none"/>
          <w:lang w:eastAsia="zh-CN"/>
        </w:rPr>
        <w:t>鼓励</w:t>
      </w:r>
      <w:r>
        <w:rPr>
          <w:rFonts w:hint="eastAsia"/>
          <w:b w:val="0"/>
          <w:bCs w:val="0"/>
          <w:color w:val="auto"/>
          <w:highlight w:val="none"/>
        </w:rPr>
        <w:t>发展绿色产业</w:t>
      </w:r>
      <w:bookmarkEnd w:id="529"/>
    </w:p>
    <w:p w14:paraId="576ADBA3">
      <w:pPr>
        <w:spacing w:line="560" w:lineRule="exact"/>
        <w:ind w:firstLine="640" w:firstLineChars="200"/>
        <w:rPr>
          <w:rFonts w:eastAsia="仿宋_GB2312"/>
          <w:color w:val="auto"/>
          <w:highlight w:val="none"/>
        </w:rPr>
      </w:pPr>
      <w:r>
        <w:rPr>
          <w:rFonts w:hint="eastAsia" w:eastAsia="仿宋_GB2312"/>
          <w:color w:val="auto"/>
          <w:highlight w:val="none"/>
        </w:rPr>
        <w:t>严格执行《国家产业结构调整指导目录（</w:t>
      </w:r>
      <w:r>
        <w:rPr>
          <w:rFonts w:eastAsia="仿宋_GB2312"/>
          <w:color w:val="auto"/>
          <w:highlight w:val="none"/>
        </w:rPr>
        <w:t>2019</w:t>
      </w:r>
      <w:r>
        <w:rPr>
          <w:rFonts w:hint="eastAsia" w:eastAsia="仿宋_GB2312"/>
          <w:color w:val="auto"/>
          <w:highlight w:val="none"/>
        </w:rPr>
        <w:t>年版）》《绿色产业指导目录（</w:t>
      </w:r>
      <w:r>
        <w:rPr>
          <w:rFonts w:eastAsia="仿宋_GB2312"/>
          <w:color w:val="auto"/>
          <w:highlight w:val="none"/>
        </w:rPr>
        <w:t>2019</w:t>
      </w:r>
      <w:r>
        <w:rPr>
          <w:rFonts w:hint="eastAsia" w:eastAsia="仿宋_GB2312"/>
          <w:color w:val="auto"/>
          <w:highlight w:val="none"/>
        </w:rPr>
        <w:t>年版）》。优化升级先进制造产业，大力发展智能制造、节能环保、新材料等绿色新兴产业，促进金属压延、食品加工等传统制造产业由中低端向中高端升级。加快培育壮大资源消耗少、科技含量高的生命健康、数据信息、高端软件、创意设计等产业，逐步成为经济发展的重要引擎。全面提升低能耗低排放、综合效益好的文体旅游产业、现代物流产业发展水平。围绕</w:t>
      </w:r>
      <w:r>
        <w:rPr>
          <w:rFonts w:hint="eastAsia" w:eastAsia="仿宋_GB2312"/>
          <w:color w:val="auto"/>
          <w:highlight w:val="none"/>
          <w:lang w:eastAsia="zh-CN"/>
        </w:rPr>
        <w:t>“</w:t>
      </w:r>
      <w:r>
        <w:rPr>
          <w:rFonts w:hint="eastAsia" w:eastAsia="仿宋_GB2312"/>
          <w:color w:val="auto"/>
          <w:highlight w:val="none"/>
        </w:rPr>
        <w:t>三废</w:t>
      </w:r>
      <w:r>
        <w:rPr>
          <w:rFonts w:hint="eastAsia" w:eastAsia="仿宋_GB2312"/>
          <w:color w:val="auto"/>
          <w:highlight w:val="none"/>
          <w:lang w:eastAsia="zh-CN"/>
        </w:rPr>
        <w:t>”</w:t>
      </w:r>
      <w:r>
        <w:rPr>
          <w:rFonts w:hint="eastAsia" w:eastAsia="仿宋_GB2312"/>
          <w:color w:val="auto"/>
          <w:highlight w:val="none"/>
        </w:rPr>
        <w:t>处理和企业循环式生产、园区循环式发展、产业循环式组合，着力发展清洁生产产业。持续优化能源结构，有序推进风光电发展，积极发展氢能、抽水蓄能、地热能、生物质能等清洁能源。积极发展生态农业、生态保护、生态修复等生态环境产业，加快推动建筑节能与绿色建筑、绿色交通、环境基础设施、城镇能源基础设施、海绵城市等基础设施绿色升级改造，大力培育咨询服务、项目运营管理、监测检测、技术产品认证和推广等绿色服务。</w:t>
      </w:r>
    </w:p>
    <w:p w14:paraId="40A43231">
      <w:pPr>
        <w:spacing w:line="560" w:lineRule="exact"/>
        <w:ind w:firstLine="640" w:firstLineChars="200"/>
        <w:outlineLvl w:val="2"/>
        <w:rPr>
          <w:b w:val="0"/>
          <w:bCs w:val="0"/>
          <w:color w:val="auto"/>
          <w:highlight w:val="none"/>
        </w:rPr>
      </w:pPr>
      <w:bookmarkStart w:id="531" w:name="_Toc2118"/>
      <w:r>
        <w:rPr>
          <w:rFonts w:hint="eastAsia"/>
          <w:b w:val="0"/>
          <w:bCs w:val="0"/>
          <w:color w:val="auto"/>
          <w:highlight w:val="none"/>
        </w:rPr>
        <w:t>（二）</w:t>
      </w:r>
      <w:bookmarkEnd w:id="523"/>
      <w:bookmarkEnd w:id="524"/>
      <w:bookmarkEnd w:id="525"/>
      <w:bookmarkEnd w:id="526"/>
      <w:bookmarkEnd w:id="527"/>
      <w:bookmarkEnd w:id="528"/>
      <w:r>
        <w:rPr>
          <w:rFonts w:hint="eastAsia"/>
          <w:b w:val="0"/>
          <w:bCs w:val="0"/>
          <w:color w:val="auto"/>
          <w:highlight w:val="none"/>
        </w:rPr>
        <w:t>推行绿色低碳生产</w:t>
      </w:r>
      <w:bookmarkEnd w:id="530"/>
      <w:bookmarkEnd w:id="531"/>
      <w:r>
        <w:rPr>
          <w:b w:val="0"/>
          <w:bCs w:val="0"/>
          <w:color w:val="auto"/>
          <w:highlight w:val="none"/>
        </w:rPr>
        <w:tab/>
      </w:r>
    </w:p>
    <w:p w14:paraId="109F4FC8">
      <w:pPr>
        <w:spacing w:line="560" w:lineRule="exact"/>
        <w:ind w:firstLine="640" w:firstLineChars="200"/>
        <w:rPr>
          <w:rFonts w:eastAsia="仿宋_GB2312"/>
          <w:color w:val="auto"/>
          <w:highlight w:val="none"/>
        </w:rPr>
      </w:pPr>
      <w:r>
        <w:rPr>
          <w:rFonts w:hint="eastAsia" w:eastAsia="仿宋_GB2312"/>
          <w:color w:val="auto"/>
          <w:highlight w:val="none"/>
        </w:rPr>
        <w:t>全面推进清洁生产，依法推进重点行业、重点企业强制性清洁生产审核，促进源头减量。加强先进节能环保技术、工艺、装备推广应用，组织实施一批重点节能降耗工程。加快产业园区绿色化循环化改造，聚焦国家级及省级园区，全面推行能源梯级利用和资源综合利用。优化能源供应和利用结构。推进煤炭清洁高效利用，压减煤炭消费总量，严格控制增量，推广利用非化石能源，落实可再生电力全额保障性收购制度，创新和完善绿色能源优先上网、优先使用政策。积极推进电能替代，加快港口岸电设施建设，支持公共交通车辆油改电，适度超前建设充电设施、支持电动汽车发展。结合清洁取暖，推广高效电暖、热泵、电辅助太阳能热水器等适用技术，示范推广蓄热电锅炉等新型供暖工程。以汽车零部件、机床、电机等为重点，积极推进产品再制造，建设再制造产业示范基地。研究制定</w:t>
      </w:r>
      <w:r>
        <w:rPr>
          <w:rFonts w:eastAsia="仿宋_GB2312"/>
          <w:color w:val="auto"/>
          <w:highlight w:val="none"/>
        </w:rPr>
        <w:t>2030</w:t>
      </w:r>
      <w:r>
        <w:rPr>
          <w:rFonts w:hint="eastAsia" w:eastAsia="仿宋_GB2312"/>
          <w:color w:val="auto"/>
          <w:highlight w:val="none"/>
        </w:rPr>
        <w:t>年前碳排放达峰行动方案，支持有条件县区率先达峰。</w:t>
      </w:r>
    </w:p>
    <w:p w14:paraId="055CD659">
      <w:pPr>
        <w:pStyle w:val="9"/>
        <w:spacing w:after="0" w:line="560" w:lineRule="exact"/>
        <w:ind w:left="0" w:leftChars="0" w:firstLine="643"/>
        <w:outlineLvl w:val="2"/>
        <w:rPr>
          <w:rFonts w:eastAsia="楷体"/>
          <w:b w:val="0"/>
          <w:bCs w:val="0"/>
          <w:color w:val="auto"/>
          <w:highlight w:val="none"/>
        </w:rPr>
      </w:pPr>
      <w:bookmarkStart w:id="532" w:name="_Toc16515"/>
      <w:bookmarkStart w:id="533" w:name="_Toc27935"/>
      <w:r>
        <w:rPr>
          <w:rFonts w:hint="eastAsia" w:eastAsia="楷体"/>
          <w:b w:val="0"/>
          <w:bCs w:val="0"/>
          <w:color w:val="auto"/>
          <w:highlight w:val="none"/>
        </w:rPr>
        <w:t>（三）强化资源高效利用</w:t>
      </w:r>
      <w:bookmarkEnd w:id="532"/>
      <w:bookmarkEnd w:id="533"/>
    </w:p>
    <w:p w14:paraId="44FDD0F3">
      <w:pPr>
        <w:spacing w:line="560" w:lineRule="exact"/>
        <w:ind w:firstLine="640" w:firstLineChars="200"/>
        <w:rPr>
          <w:rFonts w:eastAsia="仿宋_GB2312"/>
          <w:color w:val="auto"/>
          <w:highlight w:val="none"/>
        </w:rPr>
      </w:pPr>
      <w:r>
        <w:rPr>
          <w:rFonts w:hint="eastAsia" w:eastAsia="仿宋_GB2312"/>
          <w:color w:val="auto"/>
          <w:highlight w:val="none"/>
        </w:rPr>
        <w:t>大力发展循环经济，加快构建循环工业、循环农业和循环服务业经济产业体系，积极发展资源回收利用产业。统筹推进生活垃圾、工业固废等重点领域资源化设施建设，全面提升城市典型废弃物资源化利用和无害化处置水平。滚动实施一批循环经济项目，加快培育形成一批综合实力强，带动效应好的龙头企业。加强园区循环化改造，制定入园企业、项目准入标准和招商引资指导目录，调整和优化园区产业结构；推动园区基础设施绿色化、循环化改造，降低基础设施建设和运行成本；加强污染治理设施建设及升级改造，实行园区污染集中治理；加强园区内产业链接循环耦合，实现项目间、企业间、产业间首尾相连、环环相扣、物料闭路循环，物尽其用。开展循环经济示范行动，实施示范工程，创建示范城市（县），培育示范企业和园区。建设资源循环利用基地，加强大宗工业固废资源综合利用，推动矿山尾矿及遗留土地砂石料深加工利用。进一步推行生产者责任延伸制度，扩大实施产品品种和领域。</w:t>
      </w:r>
    </w:p>
    <w:p w14:paraId="65BEE8E4">
      <w:pPr>
        <w:spacing w:line="560" w:lineRule="exact"/>
        <w:ind w:firstLine="640" w:firstLineChars="200"/>
        <w:outlineLvl w:val="2"/>
        <w:rPr>
          <w:b w:val="0"/>
          <w:bCs w:val="0"/>
          <w:color w:val="auto"/>
          <w:highlight w:val="none"/>
        </w:rPr>
      </w:pPr>
      <w:bookmarkStart w:id="534" w:name="_Toc26160"/>
      <w:bookmarkStart w:id="535" w:name="_Toc5432"/>
      <w:bookmarkStart w:id="536" w:name="_Toc4201"/>
      <w:bookmarkStart w:id="537" w:name="_Toc8695"/>
      <w:bookmarkStart w:id="538" w:name="_Toc7306"/>
      <w:bookmarkStart w:id="539" w:name="_Toc26300"/>
      <w:bookmarkStart w:id="540" w:name="_Toc31173"/>
      <w:bookmarkStart w:id="541" w:name="_Toc11728"/>
      <w:r>
        <w:rPr>
          <w:rFonts w:hint="eastAsia"/>
          <w:b w:val="0"/>
          <w:bCs w:val="0"/>
          <w:color w:val="auto"/>
          <w:highlight w:val="none"/>
        </w:rPr>
        <w:t>（四）倡导绿色生活方式</w:t>
      </w:r>
      <w:bookmarkEnd w:id="534"/>
      <w:bookmarkEnd w:id="535"/>
      <w:bookmarkEnd w:id="536"/>
    </w:p>
    <w:bookmarkEnd w:id="537"/>
    <w:bookmarkEnd w:id="538"/>
    <w:bookmarkEnd w:id="539"/>
    <w:bookmarkEnd w:id="540"/>
    <w:bookmarkEnd w:id="541"/>
    <w:p w14:paraId="3C8AC80A">
      <w:pPr>
        <w:spacing w:line="560" w:lineRule="exact"/>
        <w:ind w:firstLine="640" w:firstLineChars="200"/>
        <w:rPr>
          <w:rFonts w:eastAsia="仿宋_GB2312"/>
          <w:color w:val="auto"/>
          <w:highlight w:val="none"/>
        </w:rPr>
      </w:pPr>
      <w:r>
        <w:rPr>
          <w:rFonts w:hint="eastAsia" w:eastAsia="仿宋_GB2312"/>
          <w:color w:val="auto"/>
          <w:highlight w:val="none"/>
        </w:rPr>
        <w:t>倡导绿色消费、自然环保、节俭健康的生活方式，广泛开展创建节约型机关、绿色家庭、绿色学校、绿色社区、绿色商场、绿色建筑和绿色出行等行动。加强绿色消费理念宣传普及，鼓励群众在日常消费中选购绿色、环保、可循环产品，减少使用一次性制品，养成简约适度的消费习惯。倡导机关企事业单位带头践行绿色消费，提高绿色办公用品使用比例。鼓励低碳出行，大力发展公共交通，引导群众优先选择步行、骑车或乘坐公共交通工具出行，鼓励拼车或使用共享交通工具。全面推行生活垃圾分类，推动垃圾分类智慧化管理，引导公众自觉、科学地开展生活垃圾分类投放，提高垃圾无害化处理、资源化利用水平。完善绿色产品认证与标识制度，推行绿色产品政府采购制度，建立完善节能家电、高效照明产品、节水器具、绿色建材等绿色产品和新能源汽车推广机制。深入开展绿色建筑创建行动，推广被动式超低能耗建筑和装配式建筑，提升既有建筑能效水平。完善居民用电、用水、用气阶梯价格政策，运用价格杠杆提高全社会节约意识。</w:t>
      </w:r>
    </w:p>
    <w:bookmarkEnd w:id="511"/>
    <w:bookmarkEnd w:id="512"/>
    <w:bookmarkEnd w:id="513"/>
    <w:bookmarkEnd w:id="514"/>
    <w:bookmarkEnd w:id="515"/>
    <w:bookmarkEnd w:id="516"/>
    <w:bookmarkEnd w:id="517"/>
    <w:p w14:paraId="322968CB">
      <w:pPr>
        <w:spacing w:line="560" w:lineRule="exact"/>
        <w:ind w:firstLine="646"/>
        <w:outlineLvl w:val="1"/>
        <w:rPr>
          <w:rFonts w:eastAsia="黑体"/>
          <w:color w:val="auto"/>
          <w:highlight w:val="none"/>
        </w:rPr>
      </w:pPr>
      <w:bookmarkStart w:id="542" w:name="_Toc1892"/>
      <w:bookmarkStart w:id="543" w:name="_Toc1638"/>
      <w:bookmarkStart w:id="544" w:name="_Toc17639"/>
      <w:bookmarkStart w:id="545" w:name="_Toc18111"/>
      <w:bookmarkStart w:id="546" w:name="_Toc15182"/>
      <w:bookmarkStart w:id="547" w:name="_Toc23003"/>
      <w:bookmarkStart w:id="548" w:name="_Toc16219"/>
      <w:bookmarkStart w:id="549" w:name="_Toc17841"/>
      <w:bookmarkStart w:id="550" w:name="_Toc1589"/>
      <w:r>
        <w:rPr>
          <w:rFonts w:hint="eastAsia" w:eastAsia="黑体"/>
          <w:color w:val="auto"/>
          <w:highlight w:val="none"/>
        </w:rPr>
        <w:t>二、推进生态建设与修复</w:t>
      </w:r>
      <w:bookmarkEnd w:id="542"/>
      <w:bookmarkEnd w:id="543"/>
      <w:bookmarkEnd w:id="544"/>
      <w:bookmarkEnd w:id="545"/>
      <w:bookmarkEnd w:id="546"/>
      <w:bookmarkEnd w:id="547"/>
      <w:bookmarkEnd w:id="548"/>
      <w:bookmarkStart w:id="551" w:name="_Toc12424"/>
      <w:bookmarkStart w:id="552" w:name="_Toc4578"/>
      <w:bookmarkStart w:id="553" w:name="_Toc29717"/>
      <w:bookmarkStart w:id="554" w:name="_Toc27225"/>
      <w:bookmarkStart w:id="555" w:name="_Toc22312"/>
      <w:bookmarkStart w:id="556" w:name="_Toc11207"/>
      <w:r>
        <w:rPr>
          <w:rFonts w:hint="eastAsia" w:eastAsia="黑体"/>
          <w:color w:val="auto"/>
          <w:highlight w:val="none"/>
        </w:rPr>
        <w:t>保育</w:t>
      </w:r>
      <w:bookmarkEnd w:id="549"/>
      <w:bookmarkEnd w:id="550"/>
    </w:p>
    <w:p w14:paraId="7D285FA2">
      <w:pPr>
        <w:spacing w:line="560" w:lineRule="exact"/>
        <w:ind w:firstLine="646"/>
        <w:rPr>
          <w:rFonts w:eastAsia="仿宋_GB2312"/>
          <w:color w:val="auto"/>
          <w:kern w:val="0"/>
          <w:highlight w:val="none"/>
        </w:rPr>
      </w:pPr>
      <w:r>
        <w:rPr>
          <w:rFonts w:hint="eastAsia" w:eastAsia="仿宋_GB2312"/>
          <w:color w:val="auto"/>
          <w:kern w:val="0"/>
          <w:highlight w:val="none"/>
        </w:rPr>
        <w:t>坚持尊重自然、顺应自然、保护自然，加快构建生态安全格局，开展生态保护修复，提升生态系统质量和稳定性，加强与周边城市合作，共同构建燕山山脉生态安全屏障和区域生态廊道，筑牢高质量发展可持续发展生态保障。</w:t>
      </w:r>
    </w:p>
    <w:p w14:paraId="4B23D04B">
      <w:pPr>
        <w:spacing w:line="560" w:lineRule="exact"/>
        <w:ind w:firstLine="640" w:firstLineChars="200"/>
        <w:outlineLvl w:val="2"/>
        <w:rPr>
          <w:b w:val="0"/>
          <w:bCs w:val="0"/>
          <w:color w:val="auto"/>
          <w:highlight w:val="none"/>
        </w:rPr>
      </w:pPr>
      <w:bookmarkStart w:id="557" w:name="_Toc29669"/>
      <w:bookmarkStart w:id="558" w:name="_Toc10316"/>
      <w:bookmarkStart w:id="559" w:name="_Toc1063"/>
      <w:bookmarkStart w:id="560" w:name="_Toc7126"/>
      <w:bookmarkStart w:id="561" w:name="_Toc19501"/>
      <w:bookmarkStart w:id="562" w:name="_Toc3987"/>
      <w:bookmarkStart w:id="563" w:name="_Toc338"/>
      <w:r>
        <w:rPr>
          <w:rFonts w:hint="eastAsia"/>
          <w:b w:val="0"/>
          <w:bCs w:val="0"/>
          <w:color w:val="auto"/>
          <w:highlight w:val="none"/>
        </w:rPr>
        <w:t>（一）构建安全健康生态格局</w:t>
      </w:r>
      <w:bookmarkEnd w:id="557"/>
      <w:bookmarkEnd w:id="558"/>
      <w:bookmarkEnd w:id="559"/>
      <w:bookmarkEnd w:id="560"/>
      <w:bookmarkEnd w:id="561"/>
      <w:bookmarkEnd w:id="562"/>
      <w:bookmarkEnd w:id="563"/>
    </w:p>
    <w:p w14:paraId="40F60332">
      <w:pPr>
        <w:spacing w:line="560" w:lineRule="exact"/>
        <w:ind w:firstLine="646"/>
        <w:rPr>
          <w:rFonts w:eastAsia="仿宋_GB2312"/>
          <w:color w:val="auto"/>
          <w:kern w:val="0"/>
          <w:highlight w:val="none"/>
        </w:rPr>
      </w:pPr>
      <w:r>
        <w:rPr>
          <w:rFonts w:hint="eastAsia" w:eastAsia="仿宋_GB2312"/>
          <w:color w:val="auto"/>
          <w:kern w:val="0"/>
          <w:highlight w:val="none"/>
        </w:rPr>
        <w:t>落实主体功能区和生态功能分区定位，努力构建</w:t>
      </w:r>
      <w:r>
        <w:rPr>
          <w:rFonts w:hint="eastAsia" w:eastAsia="仿宋_GB2312"/>
          <w:color w:val="auto"/>
          <w:kern w:val="0"/>
          <w:highlight w:val="none"/>
          <w:lang w:eastAsia="zh-CN"/>
        </w:rPr>
        <w:t>“</w:t>
      </w:r>
      <w:r>
        <w:rPr>
          <w:rFonts w:hint="eastAsia" w:eastAsia="仿宋_GB2312"/>
          <w:color w:val="auto"/>
          <w:kern w:val="0"/>
          <w:highlight w:val="none"/>
        </w:rPr>
        <w:t>一屏一带多廊</w:t>
      </w:r>
      <w:r>
        <w:rPr>
          <w:rFonts w:hint="eastAsia" w:eastAsia="仿宋_GB2312"/>
          <w:color w:val="auto"/>
          <w:kern w:val="0"/>
          <w:highlight w:val="none"/>
          <w:lang w:eastAsia="zh-CN"/>
        </w:rPr>
        <w:t>”</w:t>
      </w:r>
      <w:r>
        <w:rPr>
          <w:rFonts w:hint="eastAsia" w:eastAsia="仿宋_GB2312"/>
          <w:color w:val="auto"/>
          <w:kern w:val="0"/>
          <w:highlight w:val="none"/>
        </w:rPr>
        <w:t>的生态安全格局。</w:t>
      </w:r>
      <w:r>
        <w:rPr>
          <w:rFonts w:hint="eastAsia" w:eastAsia="仿宋_GB2312"/>
          <w:color w:val="auto"/>
          <w:kern w:val="0"/>
          <w:highlight w:val="none"/>
          <w:lang w:eastAsia="zh-CN"/>
        </w:rPr>
        <w:t>“</w:t>
      </w:r>
      <w:r>
        <w:rPr>
          <w:rFonts w:hint="eastAsia" w:eastAsia="仿宋_GB2312"/>
          <w:color w:val="auto"/>
          <w:kern w:val="0"/>
          <w:highlight w:val="none"/>
        </w:rPr>
        <w:t>一屏</w:t>
      </w:r>
      <w:r>
        <w:rPr>
          <w:rFonts w:hint="eastAsia" w:eastAsia="仿宋_GB2312"/>
          <w:color w:val="auto"/>
          <w:kern w:val="0"/>
          <w:highlight w:val="none"/>
          <w:lang w:eastAsia="zh-CN"/>
        </w:rPr>
        <w:t>”，即</w:t>
      </w:r>
      <w:r>
        <w:rPr>
          <w:rFonts w:hint="eastAsia" w:eastAsia="仿宋_GB2312"/>
          <w:color w:val="auto"/>
          <w:kern w:val="0"/>
          <w:highlight w:val="none"/>
        </w:rPr>
        <w:t>燕山山林生态安全屏障，</w:t>
      </w:r>
      <w:r>
        <w:rPr>
          <w:rFonts w:hint="eastAsia" w:eastAsia="仿宋_GB2312"/>
          <w:color w:val="auto"/>
          <w:kern w:val="0"/>
          <w:highlight w:val="none"/>
          <w:lang w:eastAsia="zh-CN"/>
        </w:rPr>
        <w:t>重点是</w:t>
      </w:r>
      <w:r>
        <w:rPr>
          <w:rFonts w:hint="eastAsia" w:eastAsia="仿宋_GB2312"/>
          <w:color w:val="auto"/>
          <w:kern w:val="0"/>
          <w:highlight w:val="none"/>
        </w:rPr>
        <w:t>加强生态保育，</w:t>
      </w:r>
      <w:r>
        <w:rPr>
          <w:rFonts w:hint="eastAsia" w:eastAsia="仿宋_GB2312"/>
          <w:color w:val="auto"/>
          <w:kern w:val="0"/>
          <w:highlight w:val="none"/>
          <w:lang w:eastAsia="zh-CN"/>
        </w:rPr>
        <w:t>完善提升</w:t>
      </w:r>
      <w:r>
        <w:rPr>
          <w:rFonts w:hint="eastAsia" w:eastAsia="仿宋_GB2312"/>
          <w:color w:val="auto"/>
          <w:kern w:val="0"/>
          <w:highlight w:val="none"/>
        </w:rPr>
        <w:t>山区生态系统的生态功能；</w:t>
      </w:r>
      <w:r>
        <w:rPr>
          <w:rFonts w:hint="eastAsia" w:eastAsia="仿宋_GB2312"/>
          <w:color w:val="auto"/>
          <w:kern w:val="0"/>
          <w:highlight w:val="none"/>
          <w:lang w:eastAsia="zh-CN"/>
        </w:rPr>
        <w:t>“</w:t>
      </w:r>
      <w:r>
        <w:rPr>
          <w:rFonts w:hint="eastAsia" w:eastAsia="仿宋_GB2312"/>
          <w:color w:val="auto"/>
          <w:kern w:val="0"/>
          <w:highlight w:val="none"/>
        </w:rPr>
        <w:t>一带</w:t>
      </w:r>
      <w:r>
        <w:rPr>
          <w:rFonts w:hint="eastAsia" w:eastAsia="仿宋_GB2312"/>
          <w:color w:val="auto"/>
          <w:kern w:val="0"/>
          <w:highlight w:val="none"/>
          <w:lang w:eastAsia="zh-CN"/>
        </w:rPr>
        <w:t>”，即</w:t>
      </w:r>
      <w:r>
        <w:rPr>
          <w:rFonts w:hint="eastAsia" w:eastAsia="仿宋_GB2312"/>
          <w:color w:val="auto"/>
          <w:kern w:val="0"/>
          <w:highlight w:val="none"/>
        </w:rPr>
        <w:t>海岸海域生态保护带，</w:t>
      </w:r>
      <w:r>
        <w:rPr>
          <w:rFonts w:hint="eastAsia" w:eastAsia="仿宋_GB2312"/>
          <w:color w:val="auto"/>
          <w:kern w:val="0"/>
          <w:highlight w:val="none"/>
          <w:lang w:eastAsia="zh-CN"/>
        </w:rPr>
        <w:t>重点是</w:t>
      </w:r>
      <w:r>
        <w:rPr>
          <w:rFonts w:hint="eastAsia" w:eastAsia="仿宋_GB2312"/>
          <w:color w:val="auto"/>
          <w:kern w:val="0"/>
          <w:highlight w:val="none"/>
        </w:rPr>
        <w:t>保护优质沙滩资源，强化河口湿地的生态保护和生态修复，提升入海河流水质，改善滨海地区的生态环境，提升生态品质；</w:t>
      </w:r>
      <w:r>
        <w:rPr>
          <w:rFonts w:hint="eastAsia" w:eastAsia="仿宋_GB2312"/>
          <w:color w:val="auto"/>
          <w:kern w:val="0"/>
          <w:highlight w:val="none"/>
          <w:lang w:eastAsia="zh-CN"/>
        </w:rPr>
        <w:t>“</w:t>
      </w:r>
      <w:r>
        <w:rPr>
          <w:rFonts w:hint="eastAsia" w:eastAsia="仿宋_GB2312"/>
          <w:color w:val="auto"/>
          <w:kern w:val="0"/>
          <w:highlight w:val="none"/>
        </w:rPr>
        <w:t>多廊</w:t>
      </w:r>
      <w:r>
        <w:rPr>
          <w:rFonts w:hint="eastAsia" w:eastAsia="仿宋_GB2312"/>
          <w:color w:val="auto"/>
          <w:kern w:val="0"/>
          <w:highlight w:val="none"/>
          <w:lang w:eastAsia="zh-CN"/>
        </w:rPr>
        <w:t>”，即</w:t>
      </w:r>
      <w:r>
        <w:rPr>
          <w:rFonts w:hint="eastAsia" w:eastAsia="仿宋_GB2312"/>
          <w:color w:val="auto"/>
          <w:kern w:val="0"/>
          <w:highlight w:val="none"/>
        </w:rPr>
        <w:t>滦河、青龙河、石河、汤河、戴河、洋河、饮马河等多条水系生态廊道，</w:t>
      </w:r>
      <w:r>
        <w:rPr>
          <w:rFonts w:hint="eastAsia" w:eastAsia="仿宋_GB2312"/>
          <w:color w:val="auto"/>
          <w:kern w:val="0"/>
          <w:highlight w:val="none"/>
          <w:lang w:eastAsia="zh-CN"/>
        </w:rPr>
        <w:t>重点是</w:t>
      </w:r>
      <w:r>
        <w:rPr>
          <w:rFonts w:hint="eastAsia" w:eastAsia="仿宋_GB2312"/>
          <w:color w:val="auto"/>
          <w:kern w:val="0"/>
          <w:highlight w:val="none"/>
        </w:rPr>
        <w:t>加强水环境治理，修复水生态系统，加强滨水地区生态化治理，营造水清、岸绿、安全、宜人的滨水空间。加强对区域内重要生态湿地、水源涵养区、自然保护区、森林公园等生态节点的保护和修复，充分发挥各生态源地的生态功能，促进区域生态环境的持续改善。结合生态保护红线管理实施建设行为管控。</w:t>
      </w:r>
    </w:p>
    <w:p w14:paraId="081D68E2">
      <w:pPr>
        <w:spacing w:line="560" w:lineRule="exact"/>
        <w:ind w:firstLine="640" w:firstLineChars="200"/>
        <w:outlineLvl w:val="2"/>
        <w:rPr>
          <w:b w:val="0"/>
          <w:bCs w:val="0"/>
          <w:color w:val="auto"/>
          <w:highlight w:val="none"/>
        </w:rPr>
      </w:pPr>
      <w:bookmarkStart w:id="564" w:name="_Toc17228"/>
      <w:bookmarkStart w:id="565" w:name="_Toc15516"/>
      <w:r>
        <w:rPr>
          <w:rFonts w:hint="eastAsia"/>
          <w:b w:val="0"/>
          <w:bCs w:val="0"/>
          <w:color w:val="auto"/>
          <w:highlight w:val="none"/>
        </w:rPr>
        <w:t>（二）加强生态管控</w:t>
      </w:r>
      <w:bookmarkEnd w:id="564"/>
      <w:bookmarkEnd w:id="565"/>
    </w:p>
    <w:p w14:paraId="514F83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kern w:val="0"/>
          <w:highlight w:val="none"/>
        </w:rPr>
      </w:pPr>
      <w:r>
        <w:rPr>
          <w:rFonts w:hint="eastAsia" w:eastAsia="仿宋_GB2312"/>
          <w:color w:val="auto"/>
          <w:kern w:val="0"/>
          <w:highlight w:val="none"/>
        </w:rPr>
        <w:t>利用城区周边山体、林地及组团绿化隔离带，建设大型郊野生态公园，完善城区公园系统，构建由大型郊野生态公园、大型综合公园及社区公园组成的宜人便民公园体系，增强公共空间可达性，实现森林环城、引绿入城，四季常绿、三季有花。创新绿隔地区管控机制，延续并强化城市组团与绿隔相结合的布局形式，统筹生态空间与农业空间，将城市绿隔与城市公园、农林空间相联相融，严格落实绿隔地区的刚性生态空间的管控；按照用地减量化原则，积极探索非刚性控制区域的管控策略，以旅游休闲、康体健身、文化娱乐等功能的引入置换绿隔范围内现有村庄与工业商贸企业。</w:t>
      </w:r>
    </w:p>
    <w:p w14:paraId="037757EB">
      <w:pPr>
        <w:spacing w:line="560" w:lineRule="exact"/>
        <w:ind w:firstLine="640" w:firstLineChars="200"/>
        <w:outlineLvl w:val="2"/>
        <w:rPr>
          <w:b w:val="0"/>
          <w:bCs w:val="0"/>
          <w:color w:val="auto"/>
          <w:highlight w:val="none"/>
        </w:rPr>
      </w:pPr>
      <w:bookmarkStart w:id="566" w:name="_Toc29164"/>
      <w:bookmarkStart w:id="567" w:name="_Toc6220"/>
      <w:r>
        <w:rPr>
          <w:rFonts w:hint="eastAsia"/>
          <w:b w:val="0"/>
          <w:bCs w:val="0"/>
          <w:color w:val="auto"/>
          <w:highlight w:val="none"/>
        </w:rPr>
        <w:t>（三）</w:t>
      </w:r>
      <w:bookmarkEnd w:id="551"/>
      <w:r>
        <w:rPr>
          <w:rFonts w:hint="eastAsia"/>
          <w:b w:val="0"/>
          <w:bCs w:val="0"/>
          <w:color w:val="auto"/>
          <w:highlight w:val="none"/>
        </w:rPr>
        <w:t>大力推进国土绿化</w:t>
      </w:r>
      <w:bookmarkEnd w:id="566"/>
      <w:bookmarkEnd w:id="567"/>
    </w:p>
    <w:p w14:paraId="0F941BE8">
      <w:pPr>
        <w:spacing w:line="560" w:lineRule="exact"/>
        <w:ind w:firstLine="646"/>
        <w:rPr>
          <w:rFonts w:eastAsia="仿宋_GB2312"/>
          <w:color w:val="auto"/>
          <w:kern w:val="0"/>
          <w:highlight w:val="none"/>
        </w:rPr>
      </w:pPr>
      <w:r>
        <w:rPr>
          <w:rFonts w:hint="eastAsia" w:eastAsia="仿宋_GB2312"/>
          <w:color w:val="auto"/>
          <w:kern w:val="0"/>
          <w:highlight w:val="none"/>
        </w:rPr>
        <w:t>推进国家森林城市建设向基层延伸，县区全面开展创建森林城市和森林乡村工作。以</w:t>
      </w:r>
      <w:r>
        <w:rPr>
          <w:rFonts w:hint="eastAsia" w:eastAsia="仿宋_GB2312"/>
          <w:color w:val="auto"/>
          <w:kern w:val="0"/>
          <w:highlight w:val="none"/>
          <w:lang w:eastAsia="zh-CN"/>
        </w:rPr>
        <w:t>“</w:t>
      </w:r>
      <w:r>
        <w:rPr>
          <w:rFonts w:hint="eastAsia" w:eastAsia="仿宋_GB2312"/>
          <w:color w:val="auto"/>
          <w:kern w:val="0"/>
          <w:highlight w:val="none"/>
        </w:rPr>
        <w:t>三北</w:t>
      </w:r>
      <w:r>
        <w:rPr>
          <w:rFonts w:hint="eastAsia" w:eastAsia="仿宋_GB2312"/>
          <w:color w:val="auto"/>
          <w:kern w:val="0"/>
          <w:highlight w:val="none"/>
          <w:lang w:eastAsia="zh-CN"/>
        </w:rPr>
        <w:t>”</w:t>
      </w:r>
      <w:r>
        <w:rPr>
          <w:rFonts w:hint="eastAsia" w:eastAsia="仿宋_GB2312"/>
          <w:color w:val="auto"/>
          <w:kern w:val="0"/>
          <w:highlight w:val="none"/>
        </w:rPr>
        <w:t>防护林和沿海防护林为依托，采取人工造林、封山育林等措施，持续开展国土绿化。采取封山育林和营林抚育措施，加强北部林区公益林建设，实施封育保护，促进灌草地向天然林演替，确保天然林面积不减少，质量有提高。推进中部林区乡土植被建设，完善水网、路网林带，优化城市及周边现有纯林和低效林，实施林相优化与林分改造，突出园林景观风貌，实施天然林抢救性保护和沿海、沿河生态景观林带修复，提升湿地森林生物多样性与生态系统稳定性。高标准推进河北雄安北部郊野公园秦皇岛园建设。</w:t>
      </w:r>
    </w:p>
    <w:p w14:paraId="3A4E71B2">
      <w:pPr>
        <w:spacing w:line="560" w:lineRule="exact"/>
        <w:ind w:firstLine="640" w:firstLineChars="200"/>
        <w:outlineLvl w:val="2"/>
        <w:rPr>
          <w:b w:val="0"/>
          <w:bCs w:val="0"/>
          <w:color w:val="auto"/>
          <w:highlight w:val="none"/>
        </w:rPr>
      </w:pPr>
      <w:bookmarkStart w:id="568" w:name="_Toc27111"/>
      <w:bookmarkStart w:id="569" w:name="_Toc18253"/>
      <w:r>
        <w:rPr>
          <w:rFonts w:hint="eastAsia"/>
          <w:b w:val="0"/>
          <w:bCs w:val="0"/>
          <w:color w:val="auto"/>
          <w:highlight w:val="none"/>
        </w:rPr>
        <w:t>（四）推进矿山整治修复</w:t>
      </w:r>
      <w:bookmarkEnd w:id="552"/>
      <w:bookmarkEnd w:id="553"/>
      <w:bookmarkEnd w:id="554"/>
      <w:bookmarkEnd w:id="555"/>
      <w:bookmarkEnd w:id="556"/>
      <w:bookmarkEnd w:id="568"/>
      <w:bookmarkEnd w:id="569"/>
    </w:p>
    <w:p w14:paraId="33A34079">
      <w:pPr>
        <w:spacing w:line="560" w:lineRule="exact"/>
        <w:ind w:firstLine="646"/>
        <w:rPr>
          <w:rFonts w:eastAsia="仿宋_GB2312"/>
          <w:color w:val="auto"/>
          <w:kern w:val="0"/>
          <w:highlight w:val="none"/>
        </w:rPr>
      </w:pPr>
      <w:r>
        <w:rPr>
          <w:rFonts w:hint="eastAsia" w:eastAsia="仿宋_GB2312"/>
          <w:color w:val="auto"/>
          <w:kern w:val="0"/>
          <w:highlight w:val="none"/>
        </w:rPr>
        <w:t>加强矿山综合治理。坚持把生态环境保护放在优先位置，实行最全面、最严格的矿山生态环境保护制度，落实矿山综合治理实施方案，关闭退出一批、整治达标一批、整合重组一批、修复治理一批。严格控制矿山开采范围、标高、开采方式和方法，最大限度减少对生态环境影响，为采后修复治理、土地利用创造条件。大力开展矿山修复，加快推进生态破坏严重、地质灾害隐患突出、靠近居住区和重要基础设施严重影响居住安全和景观的矿山修复，按照</w:t>
      </w:r>
      <w:r>
        <w:rPr>
          <w:rFonts w:hint="eastAsia" w:eastAsia="仿宋_GB2312"/>
          <w:color w:val="auto"/>
          <w:kern w:val="0"/>
          <w:highlight w:val="none"/>
          <w:lang w:eastAsia="zh-CN"/>
        </w:rPr>
        <w:t>“</w:t>
      </w:r>
      <w:r>
        <w:rPr>
          <w:rFonts w:hint="eastAsia" w:eastAsia="仿宋_GB2312"/>
          <w:color w:val="auto"/>
          <w:kern w:val="0"/>
          <w:highlight w:val="none"/>
        </w:rPr>
        <w:t>宜林则林、宜耕则耕、宜草则草、宜建则建、宜景则景</w:t>
      </w:r>
      <w:r>
        <w:rPr>
          <w:rFonts w:hint="eastAsia" w:eastAsia="仿宋_GB2312"/>
          <w:color w:val="auto"/>
          <w:kern w:val="0"/>
          <w:highlight w:val="none"/>
          <w:lang w:eastAsia="zh-CN"/>
        </w:rPr>
        <w:t>”</w:t>
      </w:r>
      <w:r>
        <w:rPr>
          <w:rFonts w:hint="eastAsia" w:eastAsia="仿宋_GB2312"/>
          <w:color w:val="auto"/>
          <w:kern w:val="0"/>
          <w:highlight w:val="none"/>
        </w:rPr>
        <w:t>和</w:t>
      </w:r>
      <w:r>
        <w:rPr>
          <w:rFonts w:hint="eastAsia" w:eastAsia="仿宋_GB2312"/>
          <w:color w:val="auto"/>
          <w:kern w:val="0"/>
          <w:highlight w:val="none"/>
          <w:lang w:eastAsia="zh-CN"/>
        </w:rPr>
        <w:t>“</w:t>
      </w:r>
      <w:r>
        <w:rPr>
          <w:rFonts w:hint="eastAsia" w:eastAsia="仿宋_GB2312"/>
          <w:color w:val="auto"/>
          <w:kern w:val="0"/>
          <w:highlight w:val="none"/>
        </w:rPr>
        <w:t>一处一策</w:t>
      </w:r>
      <w:r>
        <w:rPr>
          <w:rFonts w:hint="eastAsia" w:eastAsia="仿宋_GB2312"/>
          <w:color w:val="auto"/>
          <w:kern w:val="0"/>
          <w:highlight w:val="none"/>
          <w:lang w:eastAsia="zh-CN"/>
        </w:rPr>
        <w:t>”</w:t>
      </w:r>
      <w:r>
        <w:rPr>
          <w:rFonts w:hint="eastAsia" w:eastAsia="仿宋_GB2312"/>
          <w:color w:val="auto"/>
          <w:kern w:val="0"/>
          <w:highlight w:val="none"/>
        </w:rPr>
        <w:t>原则，加快修复绿化、转型利用。推动尾矿库复绿。稳步推进海港区北部山区采煤沉陷区治理。</w:t>
      </w:r>
      <w:bookmarkStart w:id="570" w:name="_Toc32258"/>
      <w:bookmarkStart w:id="571" w:name="_Toc15848"/>
      <w:bookmarkStart w:id="572" w:name="_Toc11304"/>
      <w:bookmarkStart w:id="573" w:name="_Toc16631"/>
    </w:p>
    <w:p w14:paraId="35B0E8A3">
      <w:pPr>
        <w:spacing w:line="560" w:lineRule="exact"/>
        <w:ind w:firstLine="646"/>
        <w:outlineLvl w:val="2"/>
        <w:rPr>
          <w:b w:val="0"/>
          <w:bCs w:val="0"/>
          <w:color w:val="auto"/>
          <w:highlight w:val="none"/>
        </w:rPr>
      </w:pPr>
      <w:bookmarkStart w:id="574" w:name="_Toc15400"/>
      <w:bookmarkStart w:id="575" w:name="_Toc17702"/>
      <w:bookmarkStart w:id="576" w:name="_Toc25513"/>
      <w:r>
        <w:rPr>
          <w:rFonts w:hint="eastAsia"/>
          <w:b w:val="0"/>
          <w:bCs w:val="0"/>
          <w:color w:val="auto"/>
          <w:highlight w:val="none"/>
        </w:rPr>
        <w:t>（五）加强水和湿地修复</w:t>
      </w:r>
      <w:bookmarkEnd w:id="574"/>
      <w:bookmarkEnd w:id="575"/>
      <w:bookmarkEnd w:id="576"/>
    </w:p>
    <w:p w14:paraId="0FCA66FB">
      <w:pPr>
        <w:spacing w:line="560" w:lineRule="exact"/>
        <w:ind w:firstLine="646"/>
        <w:rPr>
          <w:rFonts w:eastAsia="仿宋_GB2312"/>
          <w:color w:val="auto"/>
          <w:kern w:val="0"/>
          <w:highlight w:val="none"/>
        </w:rPr>
      </w:pPr>
      <w:r>
        <w:rPr>
          <w:rFonts w:hint="eastAsia" w:eastAsia="仿宋_GB2312"/>
          <w:color w:val="auto"/>
          <w:kern w:val="0"/>
          <w:highlight w:val="none"/>
        </w:rPr>
        <w:t>实施重点流域综合治理。进一步加大重点流域污染治理力度，推进滦河、石河、汤河、戴河、洋河、饮马河、青龙河等主要河流的综合整治和生态修复，恢复河流生态功能，强化水安全格局。</w:t>
      </w:r>
      <w:bookmarkStart w:id="577" w:name="_Hlk21796007"/>
      <w:r>
        <w:rPr>
          <w:rFonts w:hint="eastAsia" w:eastAsia="仿宋_GB2312"/>
          <w:color w:val="auto"/>
          <w:kern w:val="0"/>
          <w:highlight w:val="none"/>
        </w:rPr>
        <w:t>实施水源地生态修复</w:t>
      </w:r>
      <w:bookmarkEnd w:id="577"/>
      <w:r>
        <w:rPr>
          <w:rFonts w:hint="eastAsia" w:eastAsia="仿宋_GB2312"/>
          <w:color w:val="auto"/>
          <w:kern w:val="0"/>
          <w:highlight w:val="none"/>
        </w:rPr>
        <w:t>工程，以桃林口水库、石河水库和洋河水库等三个地表水水源地保护区为重点，实施水源地环境综合整治和生态修复，清理保护区内与供水设施和保护水源无关的建设项目、堆场和农业生产等影响水源保护的设施和活动，完善水源保护区及周边区域污水收集系统。加强黄金海岸自然保护区、北戴河国家湿地公园生态保护，实施人工水质净化、河湖生态缓冲带及水生植被恢复等工程，加大河湖生态补水，推动生态系统持续向好。完善工业园区、矿山开采区、垃圾填埋场等场地防渗处理。</w:t>
      </w:r>
      <w:bookmarkEnd w:id="570"/>
      <w:bookmarkEnd w:id="571"/>
      <w:bookmarkEnd w:id="572"/>
      <w:bookmarkEnd w:id="573"/>
    </w:p>
    <w:p w14:paraId="7081F666">
      <w:pPr>
        <w:spacing w:line="560" w:lineRule="exact"/>
        <w:ind w:firstLine="646"/>
        <w:outlineLvl w:val="1"/>
        <w:rPr>
          <w:rFonts w:eastAsia="黑体"/>
          <w:color w:val="auto"/>
          <w:highlight w:val="none"/>
        </w:rPr>
      </w:pPr>
      <w:bookmarkStart w:id="578" w:name="_Toc10890"/>
      <w:bookmarkStart w:id="579" w:name="_Toc16332"/>
      <w:bookmarkStart w:id="580" w:name="_Toc23350"/>
      <w:bookmarkStart w:id="581" w:name="_Toc23783"/>
      <w:bookmarkStart w:id="582" w:name="_Toc8531"/>
      <w:bookmarkStart w:id="583" w:name="_Toc27171"/>
      <w:bookmarkStart w:id="584" w:name="_Toc15026"/>
      <w:bookmarkStart w:id="585" w:name="_Toc16970"/>
      <w:bookmarkStart w:id="586" w:name="_Toc1602"/>
      <w:bookmarkStart w:id="587" w:name="_Toc2077"/>
      <w:bookmarkStart w:id="588" w:name="_Toc9430"/>
      <w:bookmarkStart w:id="589" w:name="_Toc22872"/>
      <w:bookmarkStart w:id="590" w:name="_Toc12942"/>
      <w:bookmarkStart w:id="591" w:name="_Toc25176"/>
      <w:bookmarkStart w:id="592" w:name="_Toc31935"/>
      <w:bookmarkStart w:id="593" w:name="_Toc5038"/>
      <w:r>
        <w:rPr>
          <w:rFonts w:hint="eastAsia" w:eastAsia="黑体"/>
          <w:color w:val="auto"/>
          <w:highlight w:val="none"/>
        </w:rPr>
        <w:t>三、强化环境污染治理</w:t>
      </w:r>
      <w:bookmarkEnd w:id="578"/>
      <w:bookmarkEnd w:id="579"/>
      <w:bookmarkEnd w:id="580"/>
    </w:p>
    <w:bookmarkEnd w:id="581"/>
    <w:bookmarkEnd w:id="582"/>
    <w:bookmarkEnd w:id="583"/>
    <w:bookmarkEnd w:id="584"/>
    <w:bookmarkEnd w:id="585"/>
    <w:bookmarkEnd w:id="586"/>
    <w:p w14:paraId="5188F936">
      <w:pPr>
        <w:spacing w:line="560" w:lineRule="exact"/>
        <w:ind w:firstLine="646"/>
        <w:rPr>
          <w:rFonts w:eastAsia="仿宋_GB2312"/>
          <w:color w:val="auto"/>
          <w:kern w:val="0"/>
          <w:highlight w:val="none"/>
        </w:rPr>
      </w:pPr>
      <w:bookmarkStart w:id="594" w:name="_Toc16377"/>
      <w:bookmarkStart w:id="595" w:name="_Toc20035"/>
      <w:bookmarkStart w:id="596" w:name="_Toc25246"/>
      <w:bookmarkStart w:id="597" w:name="_Toc16776"/>
      <w:bookmarkStart w:id="598" w:name="_Toc18515"/>
      <w:r>
        <w:rPr>
          <w:rFonts w:hint="eastAsia" w:eastAsia="仿宋_GB2312"/>
          <w:color w:val="auto"/>
          <w:kern w:val="0"/>
          <w:highlight w:val="none"/>
        </w:rPr>
        <w:t>坚持大气污染区域治理、水污染流域治理、土壤污染属地治理，突出精准治污、科学治污、依法治污，强化全民共治、源头防治，驰而不息打好蓝天、碧水、净土保卫战，守护好秦皇岛的蓝天白云、绿水青山、良田沃土。</w:t>
      </w:r>
    </w:p>
    <w:p w14:paraId="5BCBCC92">
      <w:pPr>
        <w:spacing w:line="560" w:lineRule="exact"/>
        <w:ind w:firstLine="640" w:firstLineChars="200"/>
        <w:outlineLvl w:val="2"/>
        <w:rPr>
          <w:b w:val="0"/>
          <w:bCs w:val="0"/>
          <w:color w:val="auto"/>
          <w:highlight w:val="none"/>
        </w:rPr>
      </w:pPr>
      <w:bookmarkStart w:id="599" w:name="_Toc13562"/>
      <w:bookmarkStart w:id="600" w:name="_Toc2740"/>
      <w:r>
        <w:rPr>
          <w:rFonts w:hint="eastAsia"/>
          <w:b w:val="0"/>
          <w:bCs w:val="0"/>
          <w:color w:val="auto"/>
          <w:highlight w:val="none"/>
        </w:rPr>
        <w:t>（一）持续推进大气污染治理</w:t>
      </w:r>
      <w:bookmarkEnd w:id="594"/>
      <w:bookmarkEnd w:id="595"/>
      <w:bookmarkEnd w:id="596"/>
      <w:bookmarkEnd w:id="597"/>
      <w:bookmarkEnd w:id="598"/>
      <w:bookmarkEnd w:id="599"/>
      <w:bookmarkEnd w:id="600"/>
    </w:p>
    <w:p w14:paraId="6B33343A">
      <w:pPr>
        <w:spacing w:line="560" w:lineRule="exact"/>
        <w:ind w:firstLine="646"/>
        <w:rPr>
          <w:rFonts w:eastAsia="仿宋_GB2312"/>
          <w:color w:val="auto"/>
          <w:kern w:val="0"/>
          <w:highlight w:val="none"/>
        </w:rPr>
      </w:pPr>
      <w:r>
        <w:rPr>
          <w:rFonts w:hint="eastAsia" w:eastAsia="仿宋_GB2312"/>
          <w:color w:val="auto"/>
          <w:kern w:val="0"/>
          <w:highlight w:val="none"/>
        </w:rPr>
        <w:t>坚持标本兼治、系统施治，突出区域协同、措施协同、污染因子协同，推进细颗粒物（</w:t>
      </w:r>
      <w:r>
        <w:rPr>
          <w:rFonts w:eastAsia="仿宋_GB2312"/>
          <w:color w:val="auto"/>
          <w:kern w:val="0"/>
          <w:highlight w:val="none"/>
        </w:rPr>
        <w:t>PM</w:t>
      </w:r>
      <w:r>
        <w:rPr>
          <w:rFonts w:eastAsia="仿宋_GB2312"/>
          <w:color w:val="auto"/>
          <w:kern w:val="0"/>
          <w:highlight w:val="none"/>
          <w:vertAlign w:val="subscript"/>
        </w:rPr>
        <w:t>2.5</w:t>
      </w:r>
      <w:r>
        <w:rPr>
          <w:rFonts w:hint="eastAsia" w:eastAsia="仿宋_GB2312"/>
          <w:color w:val="auto"/>
          <w:kern w:val="0"/>
          <w:highlight w:val="none"/>
        </w:rPr>
        <w:t>）和臭氧</w:t>
      </w:r>
      <w:r>
        <w:rPr>
          <w:rFonts w:hint="eastAsia" w:eastAsia="仿宋_GB2312"/>
          <w:color w:val="auto"/>
          <w:kern w:val="0"/>
          <w:highlight w:val="none"/>
          <w:lang w:eastAsia="zh-CN"/>
        </w:rPr>
        <w:t>污染</w:t>
      </w:r>
      <w:r>
        <w:rPr>
          <w:rFonts w:hint="eastAsia" w:eastAsia="仿宋_GB2312"/>
          <w:color w:val="auto"/>
          <w:kern w:val="0"/>
          <w:highlight w:val="none"/>
        </w:rPr>
        <w:t>协同控制，基本消除重污染天气。深入推进结构减排，大力发展低能耗、低排放产业，巩固化解过剩产能成果，推进企业退城进郊（园区）。深入开展工业污染物源头控制工作，重点行业新改扩建项目严格执行产能置换、煤炭减量替代和污染物倍量削减替代办法，严控工业污染排放，依法关停一批不达标排放企业。推行低（无）挥发性有机物产品源头替代，加强挥发性有机物和氮氧化物污染防治，集中整治恶臭气体污染。加强扬尘源治理，深化建筑施工、市政工程、交通道路扬尘治理，加强城市裸地、土堆扬尘治理力度，推进露天矿山扬尘污染治理。推动运输结构调整，加快实施</w:t>
      </w:r>
      <w:r>
        <w:rPr>
          <w:rFonts w:hint="eastAsia" w:eastAsia="仿宋_GB2312"/>
          <w:color w:val="auto"/>
          <w:kern w:val="0"/>
          <w:highlight w:val="none"/>
          <w:lang w:eastAsia="zh-CN"/>
        </w:rPr>
        <w:t>“</w:t>
      </w:r>
      <w:r>
        <w:rPr>
          <w:rFonts w:hint="eastAsia" w:eastAsia="仿宋_GB2312"/>
          <w:color w:val="auto"/>
          <w:kern w:val="0"/>
          <w:highlight w:val="none"/>
        </w:rPr>
        <w:t>公转铁</w:t>
      </w:r>
      <w:r>
        <w:rPr>
          <w:rFonts w:hint="eastAsia" w:eastAsia="仿宋_GB2312"/>
          <w:color w:val="auto"/>
          <w:kern w:val="0"/>
          <w:highlight w:val="none"/>
          <w:lang w:eastAsia="zh-CN"/>
        </w:rPr>
        <w:t>”</w:t>
      </w:r>
      <w:r>
        <w:rPr>
          <w:rFonts w:hint="eastAsia" w:eastAsia="仿宋_GB2312"/>
          <w:color w:val="auto"/>
          <w:kern w:val="0"/>
          <w:highlight w:val="none"/>
        </w:rPr>
        <w:t>工程，推进铁路主导大宗及中长距离货物运输。统筹</w:t>
      </w:r>
      <w:r>
        <w:rPr>
          <w:rFonts w:hint="eastAsia" w:eastAsia="仿宋_GB2312"/>
          <w:color w:val="auto"/>
          <w:kern w:val="0"/>
          <w:highlight w:val="none"/>
          <w:lang w:eastAsia="zh-CN"/>
        </w:rPr>
        <w:t>“</w:t>
      </w:r>
      <w:r>
        <w:rPr>
          <w:rFonts w:hint="eastAsia" w:eastAsia="仿宋_GB2312"/>
          <w:color w:val="auto"/>
          <w:kern w:val="0"/>
          <w:highlight w:val="none"/>
        </w:rPr>
        <w:t>油、路、车</w:t>
      </w:r>
      <w:r>
        <w:rPr>
          <w:rFonts w:hint="eastAsia" w:eastAsia="仿宋_GB2312"/>
          <w:color w:val="auto"/>
          <w:kern w:val="0"/>
          <w:highlight w:val="none"/>
          <w:lang w:eastAsia="zh-CN"/>
        </w:rPr>
        <w:t>”</w:t>
      </w:r>
      <w:r>
        <w:rPr>
          <w:rFonts w:hint="eastAsia" w:eastAsia="仿宋_GB2312"/>
          <w:color w:val="auto"/>
          <w:kern w:val="0"/>
          <w:highlight w:val="none"/>
        </w:rPr>
        <w:t>治理，深化重型柴油货车污染治理，推广使用新能源和清洁能源汽车，鼓励老旧车辆提前淘汰。精准应对重污染天气，完善生态环境、气象部门重污染天气会商预警预报机制，全面落实全市大气污染防治精准化和重污染天气应急管控。强化城乡协同治理，推进北戴河及周边地区大气污染协同治理，指导各县区加强与周边县区污染防治协调联动，形成共建共享共治格局。</w:t>
      </w:r>
    </w:p>
    <w:p w14:paraId="558F3017">
      <w:pPr>
        <w:spacing w:line="560" w:lineRule="exact"/>
        <w:ind w:firstLine="640" w:firstLineChars="200"/>
        <w:outlineLvl w:val="2"/>
        <w:rPr>
          <w:b w:val="0"/>
          <w:bCs w:val="0"/>
          <w:color w:val="auto"/>
          <w:highlight w:val="none"/>
        </w:rPr>
      </w:pPr>
      <w:bookmarkStart w:id="601" w:name="_Toc21935"/>
      <w:bookmarkStart w:id="602" w:name="_Toc29491"/>
      <w:bookmarkStart w:id="603" w:name="_Toc14474"/>
      <w:bookmarkStart w:id="604" w:name="_Toc21693"/>
      <w:bookmarkStart w:id="605" w:name="_Toc27271"/>
      <w:bookmarkStart w:id="606" w:name="_Toc18010"/>
      <w:bookmarkStart w:id="607" w:name="_Toc24520"/>
      <w:r>
        <w:rPr>
          <w:rFonts w:hint="eastAsia"/>
          <w:b w:val="0"/>
          <w:bCs w:val="0"/>
          <w:color w:val="auto"/>
          <w:highlight w:val="none"/>
        </w:rPr>
        <w:t>（二）系统推进水环境综合治理</w:t>
      </w:r>
      <w:bookmarkEnd w:id="601"/>
      <w:bookmarkEnd w:id="602"/>
      <w:bookmarkEnd w:id="603"/>
      <w:bookmarkEnd w:id="604"/>
      <w:bookmarkEnd w:id="605"/>
      <w:bookmarkEnd w:id="606"/>
      <w:bookmarkEnd w:id="607"/>
    </w:p>
    <w:p w14:paraId="28D3E1F7">
      <w:pPr>
        <w:spacing w:line="560" w:lineRule="exact"/>
        <w:ind w:firstLine="646"/>
        <w:rPr>
          <w:rFonts w:eastAsia="仿宋_GB2312"/>
          <w:color w:val="auto"/>
          <w:kern w:val="0"/>
          <w:highlight w:val="none"/>
        </w:rPr>
      </w:pPr>
      <w:r>
        <w:rPr>
          <w:rFonts w:hint="eastAsia" w:eastAsia="仿宋_GB2312"/>
          <w:color w:val="auto"/>
          <w:kern w:val="0"/>
          <w:highlight w:val="none"/>
        </w:rPr>
        <w:t>统筹水资源利用、水生态保护、水环境治理，坚持污染减排与生态扩容协同推进，持续改善水环境质量。优先保障饮用水安全，开展县级以上集中式饮用水水源保护区规范化建设，稳步推进农村饮用水水源保护。持续深化</w:t>
      </w:r>
      <w:r>
        <w:rPr>
          <w:rFonts w:hint="eastAsia" w:eastAsia="仿宋_GB2312"/>
          <w:color w:val="auto"/>
          <w:kern w:val="0"/>
          <w:highlight w:val="none"/>
          <w:lang w:eastAsia="zh-CN"/>
        </w:rPr>
        <w:t>“</w:t>
      </w:r>
      <w:r>
        <w:rPr>
          <w:rFonts w:hint="eastAsia" w:eastAsia="仿宋_GB2312"/>
          <w:color w:val="auto"/>
          <w:kern w:val="0"/>
          <w:highlight w:val="none"/>
        </w:rPr>
        <w:t>河长制</w:t>
      </w:r>
      <w:r>
        <w:rPr>
          <w:rFonts w:hint="eastAsia" w:eastAsia="仿宋_GB2312"/>
          <w:color w:val="auto"/>
          <w:kern w:val="0"/>
          <w:highlight w:val="none"/>
          <w:lang w:eastAsia="zh-CN"/>
        </w:rPr>
        <w:t>”</w:t>
      </w:r>
      <w:r>
        <w:rPr>
          <w:rFonts w:hint="eastAsia" w:eastAsia="仿宋_GB2312"/>
          <w:color w:val="auto"/>
          <w:kern w:val="0"/>
          <w:highlight w:val="none"/>
        </w:rPr>
        <w:t>，打造健康河湖，保证河流水质提升。全面落实湾长制，深化入海排污口溯源整治，实施涉水企业提标改造工程，降低入河入海污染物总量，确保入海河流和近岸海域水质稳定达标。全面推进城镇生活污水治理，加快城市建成区雨污分流改造，推动建制镇以上生活污水处理设施全覆盖，持续推进污水处理厂提标改造，确保污水处理厂稳定运行。强化工业污水管控，推动工业企业废水达标排放，推进涉水工业企业入园进区，完善开发区（园区）配套管网、污水集中处理设施，实现污水全部集中收集集中处理、达标排放。深化地下水污染防治，建立地下水环境质量监测网络，开展地下水修复试点。建立健全城镇污水处理费动态调整机制，具备污水集中处理条件的建制镇全面建立污水处理收费制度。</w:t>
      </w:r>
    </w:p>
    <w:p w14:paraId="6D92B946">
      <w:pPr>
        <w:spacing w:line="560" w:lineRule="exact"/>
        <w:ind w:firstLine="646"/>
        <w:rPr>
          <w:rFonts w:eastAsia="仿宋_GB2312"/>
          <w:color w:val="auto"/>
          <w:kern w:val="0"/>
          <w:highlight w:val="none"/>
        </w:rPr>
      </w:pPr>
      <w:r>
        <w:rPr>
          <w:rFonts w:hint="eastAsia" w:eastAsia="仿宋_GB2312"/>
          <w:color w:val="auto"/>
          <w:kern w:val="0"/>
          <w:highlight w:val="none"/>
        </w:rPr>
        <w:t>加强农业农村面源污染治理。切实加强河流、湖泊等重点区域农业面源污染防治，严格管控沿河环湖沿海化肥、农药使用量，加强废旧地膜回收利用，增加可降解地膜用量。加强畜禽养殖污染控制，确保规模化畜禽养殖场配套建设废弃物处理设施比例达到</w:t>
      </w:r>
      <w:r>
        <w:rPr>
          <w:rFonts w:eastAsia="仿宋_GB2312"/>
          <w:color w:val="auto"/>
          <w:kern w:val="0"/>
          <w:highlight w:val="none"/>
        </w:rPr>
        <w:t>100%</w:t>
      </w:r>
      <w:r>
        <w:rPr>
          <w:rFonts w:hint="eastAsia" w:eastAsia="仿宋_GB2312"/>
          <w:color w:val="auto"/>
          <w:kern w:val="0"/>
          <w:highlight w:val="none"/>
        </w:rPr>
        <w:t>，推进规模以下分散式畜禽养殖废物利用，不断提高畜禽粪污综合利用率，有效杜绝畜禽污染物直接进入河道。推进农村生活污水治理，因村制宜确定生活污水治理模式。优先河流两侧傍水村庄农村污水治理，加强乡镇、农村小型污水处理设施建设，确保规范有效运行。加快农村纳污坑塘综合治理，打通区域水系，消除农村黑臭水体。</w:t>
      </w:r>
      <w:bookmarkStart w:id="608" w:name="_Toc31345"/>
      <w:bookmarkStart w:id="609" w:name="_Toc4990"/>
      <w:bookmarkStart w:id="610" w:name="_Toc16020"/>
      <w:bookmarkStart w:id="611" w:name="_Toc28553"/>
    </w:p>
    <w:p w14:paraId="58712120">
      <w:pPr>
        <w:spacing w:line="560" w:lineRule="exact"/>
        <w:ind w:firstLine="640" w:firstLineChars="200"/>
        <w:outlineLvl w:val="2"/>
        <w:rPr>
          <w:b w:val="0"/>
          <w:bCs w:val="0"/>
          <w:color w:val="auto"/>
          <w:highlight w:val="none"/>
        </w:rPr>
      </w:pPr>
      <w:bookmarkStart w:id="612" w:name="_Toc12635"/>
      <w:bookmarkStart w:id="613" w:name="_Toc21314"/>
      <w:bookmarkStart w:id="614" w:name="_Toc15872"/>
      <w:r>
        <w:rPr>
          <w:rFonts w:hint="eastAsia"/>
          <w:b w:val="0"/>
          <w:bCs w:val="0"/>
          <w:color w:val="auto"/>
          <w:highlight w:val="none"/>
        </w:rPr>
        <w:t>（三）扎实开展土壤</w:t>
      </w:r>
      <w:bookmarkEnd w:id="608"/>
      <w:bookmarkEnd w:id="609"/>
      <w:bookmarkEnd w:id="610"/>
      <w:bookmarkEnd w:id="611"/>
      <w:bookmarkEnd w:id="612"/>
      <w:r>
        <w:rPr>
          <w:rFonts w:hint="eastAsia"/>
          <w:b w:val="0"/>
          <w:bCs w:val="0"/>
          <w:color w:val="auto"/>
          <w:highlight w:val="none"/>
        </w:rPr>
        <w:t>污染防治</w:t>
      </w:r>
      <w:bookmarkEnd w:id="613"/>
      <w:bookmarkEnd w:id="614"/>
    </w:p>
    <w:p w14:paraId="5FC84606">
      <w:pPr>
        <w:spacing w:line="560" w:lineRule="exact"/>
        <w:ind w:firstLine="646"/>
        <w:rPr>
          <w:rFonts w:eastAsia="仿宋_GB2312"/>
          <w:color w:val="auto"/>
          <w:kern w:val="0"/>
          <w:highlight w:val="none"/>
        </w:rPr>
      </w:pPr>
      <w:r>
        <w:rPr>
          <w:rFonts w:hint="eastAsia" w:eastAsia="仿宋_GB2312"/>
          <w:color w:val="auto"/>
          <w:kern w:val="0"/>
          <w:highlight w:val="none"/>
        </w:rPr>
        <w:t>全面推行农用地分类管控，加大永久基本农田保护力度，巩固提升受污染耕地安全利用和严格管控成效，严防耕地土壤污染。健全建设用地土壤环境准入管理制度，强化土壤环境源头风险管控，防止建设用地新增污染。聚焦重点重金属污染物、重点行业，持续实施清洁化改造。调整优化危险废物利用处置能力结构，推动化工园区配套建设危险废物集中贮存、预处理和处置设施，稳步推进危险化学品生产企业搬迁改造，完善医疗废物收集转运处置体系，实现处置能力与产生量基本匹配。加强集中式饮用水水源地周边土壤保护，依法划定保护区边界，严格区域内土地用途管制和开发利用强度。健全耕地休耕轮作制度，推进土壤污染地块治理修复。加强土壤环境监测、评估、预防和执法体系建设，加强联防联控，严厉打击涉土环境违法行为。</w:t>
      </w:r>
    </w:p>
    <w:p w14:paraId="3E95B5DC">
      <w:pPr>
        <w:spacing w:line="560" w:lineRule="exact"/>
        <w:ind w:firstLine="646"/>
        <w:outlineLvl w:val="1"/>
        <w:rPr>
          <w:rFonts w:eastAsia="黑体"/>
          <w:color w:val="auto"/>
          <w:highlight w:val="none"/>
        </w:rPr>
      </w:pPr>
      <w:bookmarkStart w:id="615" w:name="_Toc28906"/>
      <w:bookmarkStart w:id="616" w:name="_Toc2200"/>
      <w:r>
        <w:rPr>
          <w:rFonts w:hint="eastAsia" w:eastAsia="黑体"/>
          <w:color w:val="auto"/>
          <w:highlight w:val="none"/>
        </w:rPr>
        <w:t>四、完善生态文明制度体系</w:t>
      </w:r>
      <w:bookmarkEnd w:id="587"/>
      <w:bookmarkEnd w:id="588"/>
      <w:bookmarkEnd w:id="589"/>
      <w:bookmarkEnd w:id="590"/>
      <w:bookmarkEnd w:id="591"/>
      <w:bookmarkEnd w:id="592"/>
      <w:bookmarkEnd w:id="593"/>
      <w:bookmarkEnd w:id="615"/>
      <w:bookmarkEnd w:id="616"/>
    </w:p>
    <w:p w14:paraId="6E9D4F91">
      <w:pPr>
        <w:spacing w:line="560" w:lineRule="exact"/>
        <w:ind w:firstLine="646"/>
        <w:outlineLvl w:val="9"/>
        <w:rPr>
          <w:rFonts w:eastAsia="仿宋_GB2312"/>
          <w:color w:val="auto"/>
          <w:kern w:val="0"/>
          <w:highlight w:val="none"/>
        </w:rPr>
      </w:pPr>
      <w:r>
        <w:rPr>
          <w:rFonts w:hint="eastAsia" w:eastAsia="仿宋_GB2312"/>
          <w:color w:val="auto"/>
          <w:kern w:val="0"/>
          <w:highlight w:val="none"/>
        </w:rPr>
        <w:t>推进生态文明领域治理体系和治理能力现代化建设，构建多元参与、激励约束并重、系统完整的生态文明制度体系。建立健全制度体系，深入开展能耗、水资源、建设用地三大</w:t>
      </w:r>
      <w:r>
        <w:rPr>
          <w:rFonts w:hint="eastAsia" w:eastAsia="仿宋_GB2312"/>
          <w:color w:val="auto"/>
          <w:kern w:val="0"/>
          <w:highlight w:val="none"/>
          <w:lang w:eastAsia="zh-CN"/>
        </w:rPr>
        <w:t>“</w:t>
      </w:r>
      <w:r>
        <w:rPr>
          <w:rFonts w:hint="eastAsia" w:eastAsia="仿宋_GB2312"/>
          <w:color w:val="auto"/>
          <w:kern w:val="0"/>
          <w:highlight w:val="none"/>
        </w:rPr>
        <w:t>双控</w:t>
      </w:r>
      <w:r>
        <w:rPr>
          <w:rFonts w:hint="eastAsia" w:eastAsia="仿宋_GB2312"/>
          <w:color w:val="auto"/>
          <w:kern w:val="0"/>
          <w:highlight w:val="none"/>
          <w:lang w:eastAsia="zh-CN"/>
        </w:rPr>
        <w:t>”</w:t>
      </w:r>
      <w:r>
        <w:rPr>
          <w:rFonts w:hint="eastAsia" w:eastAsia="仿宋_GB2312"/>
          <w:color w:val="auto"/>
          <w:kern w:val="0"/>
          <w:highlight w:val="none"/>
        </w:rPr>
        <w:t>行动，强化总量和强度指标刚性约束；探索建立生态产品价值实现机制，健全跨行政区域横向生态补偿机制，落实生态环境损害赔偿制度；完善资源环境价格机制，将生态环境成本纳入经济运行成本；完善生态环境保护督察制度，健全环保信用评价、信息强制性披露、严惩重罚等制度。积极推进排污权、用能权、用水权等交易，探索构建统一高效的环境产权交易体系。积极开展生态文明创建示范活动，争创国家级生态文明示范市（县）和</w:t>
      </w:r>
      <w:r>
        <w:rPr>
          <w:rFonts w:hint="eastAsia" w:eastAsia="仿宋_GB2312"/>
          <w:color w:val="auto"/>
          <w:kern w:val="0"/>
          <w:highlight w:val="none"/>
          <w:lang w:eastAsia="zh-CN"/>
        </w:rPr>
        <w:t>“</w:t>
      </w:r>
      <w:r>
        <w:rPr>
          <w:rFonts w:hint="eastAsia" w:eastAsia="仿宋_GB2312"/>
          <w:color w:val="auto"/>
          <w:kern w:val="0"/>
          <w:highlight w:val="none"/>
        </w:rPr>
        <w:t>绿水青山就是金山银山</w:t>
      </w:r>
      <w:r>
        <w:rPr>
          <w:rFonts w:hint="eastAsia" w:eastAsia="仿宋_GB2312"/>
          <w:color w:val="auto"/>
          <w:kern w:val="0"/>
          <w:highlight w:val="none"/>
          <w:lang w:eastAsia="zh-CN"/>
        </w:rPr>
        <w:t>”</w:t>
      </w:r>
      <w:r>
        <w:rPr>
          <w:rFonts w:hint="eastAsia" w:eastAsia="仿宋_GB2312"/>
          <w:color w:val="auto"/>
          <w:kern w:val="0"/>
          <w:highlight w:val="none"/>
        </w:rPr>
        <w:t>实践创新基地，为全省树立生态文明建设样板。落实领导干部生态文明建设责任制度，以构建生态环境质量考核体系为出发点，建立科学合理的领导干部考评制度，完善绩效考核评价体系，推行领导干部自然资源资产离任（任中）审计，严格考核问责。探索建立生态环境和资源损害问题线索移送制度，对违背科学发展要求、造成资源环境生态严重破坏的记录在案，实行终身追责。</w:t>
      </w:r>
    </w:p>
    <w:tbl>
      <w:tblPr>
        <w:tblStyle w:val="17"/>
        <w:tblpPr w:leftFromText="180" w:rightFromText="180" w:vertAnchor="text" w:horzAnchor="page" w:tblpXSpec="center" w:tblpY="50"/>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700B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0" w:type="dxa"/>
          </w:tcPr>
          <w:p w14:paraId="2A8CD257">
            <w:pPr>
              <w:spacing w:line="360" w:lineRule="exact"/>
              <w:jc w:val="center"/>
              <w:outlineLvl w:val="9"/>
              <w:rPr>
                <w:color w:val="auto"/>
                <w:sz w:val="24"/>
                <w:szCs w:val="24"/>
                <w:highlight w:val="none"/>
              </w:rPr>
            </w:pPr>
            <w:r>
              <w:rPr>
                <w:rFonts w:hint="eastAsia" w:eastAsia="宋体"/>
                <w:b/>
                <w:color w:val="auto"/>
                <w:sz w:val="24"/>
                <w:szCs w:val="24"/>
                <w:highlight w:val="none"/>
              </w:rPr>
              <w:t>专栏</w:t>
            </w:r>
            <w:r>
              <w:rPr>
                <w:rFonts w:hint="eastAsia" w:eastAsia="宋体"/>
                <w:b/>
                <w:color w:val="auto"/>
                <w:sz w:val="24"/>
                <w:szCs w:val="24"/>
                <w:highlight w:val="none"/>
                <w:lang w:val="en-US" w:eastAsia="zh-CN"/>
              </w:rPr>
              <w:t>8</w:t>
            </w:r>
            <w:r>
              <w:rPr>
                <w:rFonts w:hint="eastAsia" w:eastAsia="宋体"/>
                <w:b/>
                <w:color w:val="auto"/>
                <w:sz w:val="24"/>
                <w:szCs w:val="24"/>
                <w:highlight w:val="none"/>
              </w:rPr>
              <w:t>：生态环境建设</w:t>
            </w:r>
          </w:p>
        </w:tc>
      </w:tr>
      <w:tr w14:paraId="5552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000" w:type="dxa"/>
          </w:tcPr>
          <w:p w14:paraId="7B8552BA">
            <w:pPr>
              <w:spacing w:line="320" w:lineRule="exact"/>
              <w:ind w:firstLine="422" w:firstLineChars="200"/>
              <w:outlineLvl w:val="9"/>
              <w:rPr>
                <w:rFonts w:eastAsia="宋体"/>
                <w:bCs/>
                <w:color w:val="auto"/>
                <w:sz w:val="21"/>
                <w:szCs w:val="21"/>
                <w:highlight w:val="none"/>
              </w:rPr>
            </w:pPr>
            <w:r>
              <w:rPr>
                <w:rFonts w:eastAsia="宋体"/>
                <w:b/>
                <w:color w:val="auto"/>
                <w:sz w:val="21"/>
                <w:szCs w:val="21"/>
                <w:highlight w:val="none"/>
              </w:rPr>
              <w:t>1.</w:t>
            </w:r>
            <w:r>
              <w:rPr>
                <w:rFonts w:hint="eastAsia" w:eastAsia="宋体"/>
                <w:b/>
                <w:color w:val="auto"/>
                <w:sz w:val="21"/>
                <w:szCs w:val="21"/>
                <w:highlight w:val="none"/>
              </w:rPr>
              <w:t>大气。</w:t>
            </w:r>
            <w:r>
              <w:rPr>
                <w:rFonts w:hint="eastAsia" w:eastAsia="宋体"/>
                <w:bCs/>
                <w:color w:val="auto"/>
                <w:sz w:val="21"/>
                <w:szCs w:val="21"/>
                <w:highlight w:val="none"/>
              </w:rPr>
              <w:t>工业源大气污染防治工程、移动源面源大气污染防治工程。</w:t>
            </w:r>
          </w:p>
          <w:p w14:paraId="5F9803BA">
            <w:pPr>
              <w:spacing w:line="320" w:lineRule="exact"/>
              <w:ind w:firstLine="422" w:firstLineChars="200"/>
              <w:outlineLvl w:val="9"/>
              <w:rPr>
                <w:rFonts w:eastAsia="宋体"/>
                <w:bCs/>
                <w:color w:val="auto"/>
                <w:sz w:val="21"/>
                <w:szCs w:val="21"/>
                <w:highlight w:val="none"/>
              </w:rPr>
            </w:pPr>
            <w:r>
              <w:rPr>
                <w:rFonts w:eastAsia="宋体"/>
                <w:b/>
                <w:color w:val="auto"/>
                <w:sz w:val="21"/>
                <w:szCs w:val="21"/>
                <w:highlight w:val="none"/>
              </w:rPr>
              <w:t>2.</w:t>
            </w:r>
            <w:r>
              <w:rPr>
                <w:rFonts w:hint="eastAsia" w:eastAsia="宋体"/>
                <w:b/>
                <w:color w:val="auto"/>
                <w:sz w:val="21"/>
                <w:szCs w:val="21"/>
                <w:highlight w:val="none"/>
              </w:rPr>
              <w:t>土壤。</w:t>
            </w:r>
            <w:r>
              <w:rPr>
                <w:rFonts w:hint="eastAsia" w:eastAsia="宋体"/>
                <w:bCs/>
                <w:color w:val="auto"/>
                <w:sz w:val="21"/>
                <w:szCs w:val="21"/>
                <w:highlight w:val="none"/>
              </w:rPr>
              <w:t>土壤污染防治与固体废物治理工程、晶科环保利用海产品加工副产物生产多功能土壤修复剂及调理剂。</w:t>
            </w:r>
          </w:p>
          <w:p w14:paraId="1F6EE17A">
            <w:pPr>
              <w:spacing w:line="320" w:lineRule="exact"/>
              <w:ind w:firstLine="422" w:firstLineChars="200"/>
              <w:outlineLvl w:val="9"/>
              <w:rPr>
                <w:rFonts w:eastAsia="宋体"/>
                <w:bCs/>
                <w:color w:val="auto"/>
                <w:sz w:val="21"/>
                <w:szCs w:val="21"/>
                <w:highlight w:val="none"/>
              </w:rPr>
            </w:pPr>
            <w:r>
              <w:rPr>
                <w:rFonts w:eastAsia="宋体"/>
                <w:b/>
                <w:color w:val="auto"/>
                <w:sz w:val="21"/>
                <w:szCs w:val="21"/>
                <w:highlight w:val="none"/>
              </w:rPr>
              <w:t>3.</w:t>
            </w:r>
            <w:r>
              <w:rPr>
                <w:rFonts w:hint="eastAsia" w:eastAsia="宋体"/>
                <w:b/>
                <w:color w:val="auto"/>
                <w:sz w:val="21"/>
                <w:szCs w:val="21"/>
                <w:highlight w:val="none"/>
              </w:rPr>
              <w:t>水。</w:t>
            </w:r>
            <w:r>
              <w:rPr>
                <w:rFonts w:hint="eastAsia" w:eastAsia="宋体"/>
                <w:bCs/>
                <w:color w:val="auto"/>
                <w:sz w:val="21"/>
                <w:szCs w:val="21"/>
                <w:highlight w:val="none"/>
              </w:rPr>
              <w:t>水质提升及稳定保持工程、河道水环境综合治理工程、河道生态修复及生态补水工程、</w:t>
            </w:r>
            <w:r>
              <w:rPr>
                <w:rFonts w:hint="eastAsia" w:eastAsia="宋体"/>
                <w:bCs/>
                <w:color w:val="auto"/>
                <w:sz w:val="21"/>
                <w:szCs w:val="21"/>
                <w:highlight w:val="none"/>
                <w:lang w:eastAsia="zh-CN"/>
              </w:rPr>
              <w:t>青龙满族自治县</w:t>
            </w:r>
            <w:r>
              <w:rPr>
                <w:rFonts w:hint="eastAsia" w:eastAsia="宋体"/>
                <w:bCs/>
                <w:color w:val="auto"/>
                <w:sz w:val="21"/>
                <w:szCs w:val="21"/>
                <w:highlight w:val="none"/>
              </w:rPr>
              <w:t>全域治水清水润城工程。</w:t>
            </w:r>
          </w:p>
          <w:p w14:paraId="7B1EA6E4">
            <w:pPr>
              <w:spacing w:line="320" w:lineRule="exact"/>
              <w:ind w:firstLine="422" w:firstLineChars="200"/>
              <w:outlineLvl w:val="9"/>
              <w:rPr>
                <w:rFonts w:eastAsia="宋体"/>
                <w:bCs/>
                <w:color w:val="auto"/>
                <w:sz w:val="21"/>
                <w:szCs w:val="21"/>
                <w:highlight w:val="none"/>
              </w:rPr>
            </w:pPr>
            <w:r>
              <w:rPr>
                <w:rFonts w:eastAsia="宋体"/>
                <w:b/>
                <w:color w:val="auto"/>
                <w:sz w:val="21"/>
                <w:szCs w:val="21"/>
                <w:highlight w:val="none"/>
              </w:rPr>
              <w:t>4.</w:t>
            </w:r>
            <w:r>
              <w:rPr>
                <w:rFonts w:hint="eastAsia" w:eastAsia="宋体"/>
                <w:b/>
                <w:color w:val="auto"/>
                <w:sz w:val="21"/>
                <w:szCs w:val="21"/>
                <w:highlight w:val="none"/>
              </w:rPr>
              <w:t>岸线。</w:t>
            </w:r>
            <w:r>
              <w:rPr>
                <w:rFonts w:hint="eastAsia" w:eastAsia="宋体"/>
                <w:bCs/>
                <w:color w:val="auto"/>
                <w:sz w:val="21"/>
                <w:szCs w:val="21"/>
                <w:highlight w:val="none"/>
              </w:rPr>
              <w:t>滦河口湿地整治修复、七里海潟湖湿地生态修复、河口岸线综合整治修复、晶科环保海岸带环境卫生综合治理及资源化利用</w:t>
            </w:r>
            <w:r>
              <w:rPr>
                <w:rFonts w:hint="eastAsia" w:eastAsia="宋体"/>
                <w:bCs/>
                <w:color w:val="auto"/>
                <w:sz w:val="21"/>
                <w:szCs w:val="21"/>
                <w:highlight w:val="none"/>
                <w:lang w:eastAsia="zh-CN"/>
              </w:rPr>
              <w:t>项目</w:t>
            </w:r>
            <w:r>
              <w:rPr>
                <w:rFonts w:hint="eastAsia" w:eastAsia="宋体"/>
                <w:bCs/>
                <w:color w:val="auto"/>
                <w:sz w:val="21"/>
                <w:szCs w:val="21"/>
                <w:highlight w:val="none"/>
              </w:rPr>
              <w:t>。</w:t>
            </w:r>
          </w:p>
          <w:p w14:paraId="48CE70FC">
            <w:pPr>
              <w:spacing w:line="320" w:lineRule="exact"/>
              <w:ind w:firstLine="422" w:firstLineChars="200"/>
              <w:outlineLvl w:val="9"/>
              <w:rPr>
                <w:rFonts w:eastAsia="宋体"/>
                <w:bCs/>
                <w:color w:val="auto"/>
                <w:sz w:val="21"/>
                <w:szCs w:val="21"/>
                <w:highlight w:val="none"/>
              </w:rPr>
            </w:pPr>
            <w:r>
              <w:rPr>
                <w:rFonts w:eastAsia="宋体"/>
                <w:b/>
                <w:color w:val="auto"/>
                <w:sz w:val="21"/>
                <w:szCs w:val="21"/>
                <w:highlight w:val="none"/>
              </w:rPr>
              <w:t>5.</w:t>
            </w:r>
            <w:r>
              <w:rPr>
                <w:rFonts w:hint="eastAsia" w:eastAsia="宋体"/>
                <w:b/>
                <w:color w:val="auto"/>
                <w:sz w:val="21"/>
                <w:szCs w:val="21"/>
                <w:highlight w:val="none"/>
              </w:rPr>
              <w:t>林业。</w:t>
            </w:r>
            <w:r>
              <w:rPr>
                <w:rFonts w:hint="eastAsia" w:eastAsia="宋体"/>
                <w:bCs/>
                <w:color w:val="auto"/>
                <w:sz w:val="21"/>
                <w:szCs w:val="21"/>
                <w:highlight w:val="none"/>
              </w:rPr>
              <w:t>北戴河风景名胜区及野生动物植物保护工程、秦皇岛市森林防火体系建设工程、水源涵养林及航空护林站建设。</w:t>
            </w:r>
          </w:p>
          <w:p w14:paraId="69B0D2A6">
            <w:pPr>
              <w:spacing w:line="320" w:lineRule="exact"/>
              <w:ind w:firstLine="422" w:firstLineChars="200"/>
              <w:outlineLvl w:val="9"/>
              <w:rPr>
                <w:rFonts w:eastAsia="宋体"/>
                <w:color w:val="auto"/>
                <w:highlight w:val="none"/>
              </w:rPr>
            </w:pPr>
            <w:r>
              <w:rPr>
                <w:rFonts w:eastAsia="宋体"/>
                <w:b/>
                <w:color w:val="auto"/>
                <w:sz w:val="21"/>
                <w:szCs w:val="21"/>
                <w:highlight w:val="none"/>
              </w:rPr>
              <w:t>6.</w:t>
            </w:r>
            <w:r>
              <w:rPr>
                <w:rFonts w:hint="eastAsia" w:eastAsia="宋体"/>
                <w:b/>
                <w:color w:val="auto"/>
                <w:sz w:val="21"/>
                <w:szCs w:val="21"/>
                <w:highlight w:val="none"/>
              </w:rPr>
              <w:t>监测。</w:t>
            </w:r>
            <w:r>
              <w:rPr>
                <w:rFonts w:hint="eastAsia" w:eastAsia="宋体"/>
                <w:bCs/>
                <w:color w:val="auto"/>
                <w:sz w:val="21"/>
                <w:szCs w:val="21"/>
                <w:highlight w:val="none"/>
              </w:rPr>
              <w:t>生态环境综合监测能力建设工程、生态环境气象保障工程。</w:t>
            </w:r>
          </w:p>
        </w:tc>
      </w:tr>
    </w:tbl>
    <w:p w14:paraId="6C2F009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eastAsia="宋体"/>
          <w:b/>
          <w:color w:val="auto"/>
          <w:sz w:val="36"/>
          <w:szCs w:val="36"/>
          <w:highlight w:val="none"/>
        </w:rPr>
      </w:pPr>
      <w:bookmarkStart w:id="617" w:name="_Toc28088"/>
    </w:p>
    <w:p w14:paraId="3FE94C2F">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jc w:val="center"/>
        <w:textAlignment w:val="auto"/>
        <w:outlineLvl w:val="0"/>
        <w:rPr>
          <w:rFonts w:eastAsia="宋体"/>
          <w:b/>
          <w:color w:val="auto"/>
          <w:sz w:val="36"/>
          <w:szCs w:val="36"/>
          <w:highlight w:val="none"/>
        </w:rPr>
      </w:pPr>
      <w:bookmarkStart w:id="618" w:name="_Toc32169"/>
      <w:r>
        <w:rPr>
          <w:rFonts w:hint="eastAsia" w:eastAsia="宋体"/>
          <w:b/>
          <w:color w:val="auto"/>
          <w:sz w:val="36"/>
          <w:szCs w:val="36"/>
          <w:highlight w:val="none"/>
        </w:rPr>
        <w:t>第十章　持续推进文明城市建设，繁荣</w:t>
      </w:r>
      <w:bookmarkEnd w:id="617"/>
      <w:r>
        <w:rPr>
          <w:rFonts w:hint="eastAsia" w:eastAsia="宋体"/>
          <w:b/>
          <w:color w:val="auto"/>
          <w:sz w:val="36"/>
          <w:szCs w:val="36"/>
          <w:highlight w:val="none"/>
        </w:rPr>
        <w:t>发展文化事业</w:t>
      </w:r>
      <w:r>
        <w:rPr>
          <w:rFonts w:hint="eastAsia" w:eastAsia="宋体"/>
          <w:b/>
          <w:color w:val="auto"/>
          <w:sz w:val="36"/>
          <w:szCs w:val="36"/>
          <w:highlight w:val="none"/>
          <w:lang w:val="en-US" w:eastAsia="zh-CN"/>
        </w:rPr>
        <w:t xml:space="preserve">  </w:t>
      </w:r>
      <w:r>
        <w:rPr>
          <w:rFonts w:hint="eastAsia" w:eastAsia="宋体"/>
          <w:b/>
          <w:color w:val="auto"/>
          <w:sz w:val="36"/>
          <w:szCs w:val="36"/>
          <w:highlight w:val="none"/>
        </w:rPr>
        <w:t>文化产业</w:t>
      </w:r>
      <w:bookmarkEnd w:id="618"/>
    </w:p>
    <w:p w14:paraId="347D6B8E">
      <w:pPr>
        <w:spacing w:line="560" w:lineRule="exact"/>
        <w:ind w:firstLine="646"/>
        <w:rPr>
          <w:rFonts w:eastAsia="仿宋_GB2312"/>
          <w:color w:val="auto"/>
          <w:kern w:val="0"/>
          <w:highlight w:val="none"/>
        </w:rPr>
      </w:pPr>
      <w:r>
        <w:rPr>
          <w:rFonts w:hint="eastAsia" w:eastAsia="仿宋_GB2312"/>
          <w:color w:val="auto"/>
          <w:kern w:val="0"/>
          <w:highlight w:val="none"/>
        </w:rPr>
        <w:t>坚持以社会主义核心价值观引领文化建设，用文化凝聚思想共识、引领社会风尚，提升秦皇岛文化软实力，加快建设文化强市，打造城市文明典范，成为新时代举旗帜、聚民心、育新人、兴文化、展形象的引领者。</w:t>
      </w:r>
    </w:p>
    <w:p w14:paraId="330FC8BD">
      <w:pPr>
        <w:spacing w:line="560" w:lineRule="exact"/>
        <w:ind w:firstLine="646"/>
        <w:outlineLvl w:val="1"/>
        <w:rPr>
          <w:rFonts w:eastAsia="黑体"/>
          <w:color w:val="auto"/>
          <w:highlight w:val="none"/>
        </w:rPr>
      </w:pPr>
      <w:bookmarkStart w:id="619" w:name="_Toc2215"/>
      <w:bookmarkStart w:id="620" w:name="_Toc12786"/>
      <w:r>
        <w:rPr>
          <w:rFonts w:hint="eastAsia" w:eastAsia="黑体"/>
          <w:color w:val="auto"/>
          <w:highlight w:val="none"/>
        </w:rPr>
        <w:t>一、提高社会文明程度</w:t>
      </w:r>
      <w:bookmarkEnd w:id="619"/>
      <w:bookmarkEnd w:id="620"/>
    </w:p>
    <w:p w14:paraId="7751C324">
      <w:pPr>
        <w:spacing w:line="560" w:lineRule="exact"/>
        <w:ind w:firstLine="646"/>
        <w:rPr>
          <w:rFonts w:eastAsia="仿宋_GB2312"/>
          <w:color w:val="auto"/>
          <w:kern w:val="0"/>
          <w:highlight w:val="none"/>
        </w:rPr>
      </w:pPr>
      <w:r>
        <w:rPr>
          <w:rFonts w:hint="eastAsia" w:eastAsia="仿宋_GB2312"/>
          <w:color w:val="auto"/>
          <w:kern w:val="0"/>
          <w:highlight w:val="none"/>
        </w:rPr>
        <w:t>强化教育引导、实践养成、制度保障，把社会主义核心价值观融入经济社会发展各方面，推动形成适应新时代要求的思想观念、精神风貌、文明风尚、行为规范，不断夯实</w:t>
      </w:r>
      <w:r>
        <w:rPr>
          <w:rFonts w:hint="eastAsia" w:eastAsia="仿宋_GB2312"/>
          <w:color w:val="auto"/>
          <w:kern w:val="0"/>
          <w:highlight w:val="none"/>
          <w:lang w:eastAsia="zh-CN"/>
        </w:rPr>
        <w:t>全面</w:t>
      </w:r>
      <w:r>
        <w:rPr>
          <w:rFonts w:hint="eastAsia" w:eastAsia="仿宋_GB2312"/>
          <w:color w:val="auto"/>
          <w:kern w:val="0"/>
          <w:highlight w:val="none"/>
        </w:rPr>
        <w:t>建设现代化国际化沿海强市、美丽港城的思想道德基础。</w:t>
      </w:r>
    </w:p>
    <w:p w14:paraId="35471790">
      <w:pPr>
        <w:spacing w:line="560" w:lineRule="exact"/>
        <w:ind w:firstLine="640" w:firstLineChars="200"/>
        <w:outlineLvl w:val="2"/>
        <w:rPr>
          <w:b w:val="0"/>
          <w:bCs w:val="0"/>
          <w:color w:val="auto"/>
          <w:highlight w:val="none"/>
        </w:rPr>
      </w:pPr>
      <w:bookmarkStart w:id="621" w:name="_Toc17910"/>
      <w:bookmarkStart w:id="622" w:name="_Toc12015"/>
      <w:r>
        <w:rPr>
          <w:rFonts w:hint="eastAsia"/>
          <w:b w:val="0"/>
          <w:bCs w:val="0"/>
          <w:color w:val="auto"/>
          <w:highlight w:val="none"/>
        </w:rPr>
        <w:t>（一）加强意识形态工作</w:t>
      </w:r>
      <w:bookmarkEnd w:id="621"/>
      <w:bookmarkEnd w:id="622"/>
    </w:p>
    <w:p w14:paraId="0BA7BBA3">
      <w:pPr>
        <w:spacing w:line="560" w:lineRule="exact"/>
        <w:ind w:firstLine="646"/>
        <w:rPr>
          <w:rFonts w:eastAsia="仿宋_GB2312"/>
          <w:color w:val="auto"/>
          <w:kern w:val="0"/>
          <w:highlight w:val="none"/>
        </w:rPr>
      </w:pPr>
      <w:r>
        <w:rPr>
          <w:rFonts w:hint="eastAsia" w:eastAsia="仿宋_GB2312"/>
          <w:color w:val="auto"/>
          <w:kern w:val="0"/>
          <w:highlight w:val="none"/>
        </w:rPr>
        <w:t>坚持马克思主义在意识形态领域的指导地位，严格落实意识形态</w:t>
      </w:r>
      <w:r>
        <w:rPr>
          <w:rFonts w:hint="eastAsia" w:eastAsia="仿宋_GB2312"/>
          <w:color w:val="auto"/>
          <w:kern w:val="0"/>
          <w:highlight w:val="none"/>
          <w:lang w:eastAsia="zh-CN"/>
        </w:rPr>
        <w:t>“三清单四机制”</w:t>
      </w:r>
      <w:r>
        <w:rPr>
          <w:rFonts w:hint="eastAsia" w:eastAsia="仿宋_GB2312"/>
          <w:color w:val="auto"/>
          <w:kern w:val="0"/>
          <w:highlight w:val="none"/>
        </w:rPr>
        <w:t>工作责任制，强化阵地建设和管理。深化党的创新理论学习教育，加强党委（党组）会议第一议题学习和理论学习中心组学习，健全干部理论培训常态长效机制，扎实做好</w:t>
      </w:r>
      <w:r>
        <w:rPr>
          <w:rFonts w:hint="eastAsia" w:eastAsia="仿宋_GB2312"/>
          <w:color w:val="auto"/>
          <w:kern w:val="0"/>
          <w:highlight w:val="none"/>
          <w:lang w:eastAsia="zh-CN"/>
        </w:rPr>
        <w:t>“</w:t>
      </w:r>
      <w:r>
        <w:rPr>
          <w:rFonts w:hint="eastAsia" w:eastAsia="仿宋_GB2312"/>
          <w:color w:val="auto"/>
          <w:kern w:val="0"/>
          <w:highlight w:val="none"/>
        </w:rPr>
        <w:t>六进</w:t>
      </w:r>
      <w:r>
        <w:rPr>
          <w:rFonts w:hint="eastAsia" w:eastAsia="仿宋_GB2312"/>
          <w:color w:val="auto"/>
          <w:kern w:val="0"/>
          <w:highlight w:val="none"/>
          <w:lang w:eastAsia="zh-CN"/>
        </w:rPr>
        <w:t>”</w:t>
      </w:r>
      <w:r>
        <w:rPr>
          <w:rFonts w:hint="eastAsia" w:eastAsia="仿宋_GB2312"/>
          <w:color w:val="auto"/>
          <w:kern w:val="0"/>
          <w:highlight w:val="none"/>
        </w:rPr>
        <w:t>和学校</w:t>
      </w:r>
      <w:r>
        <w:rPr>
          <w:rFonts w:hint="eastAsia" w:eastAsia="仿宋_GB2312"/>
          <w:color w:val="auto"/>
          <w:kern w:val="0"/>
          <w:highlight w:val="none"/>
          <w:lang w:eastAsia="zh-CN"/>
        </w:rPr>
        <w:t>“</w:t>
      </w:r>
      <w:r>
        <w:rPr>
          <w:rFonts w:hint="eastAsia" w:eastAsia="仿宋_GB2312"/>
          <w:color w:val="auto"/>
          <w:kern w:val="0"/>
          <w:highlight w:val="none"/>
        </w:rPr>
        <w:t>三进</w:t>
      </w:r>
      <w:r>
        <w:rPr>
          <w:rFonts w:hint="eastAsia" w:eastAsia="仿宋_GB2312"/>
          <w:color w:val="auto"/>
          <w:kern w:val="0"/>
          <w:highlight w:val="none"/>
          <w:lang w:eastAsia="zh-CN"/>
        </w:rPr>
        <w:t>”</w:t>
      </w:r>
      <w:r>
        <w:rPr>
          <w:rFonts w:hint="eastAsia" w:eastAsia="仿宋_GB2312"/>
          <w:color w:val="auto"/>
          <w:kern w:val="0"/>
          <w:highlight w:val="none"/>
        </w:rPr>
        <w:t>工作，推动学习贯彻习近平新时代中国特色社会主义思想常态化制度化。强化秦皇岛新型智库建设。健全重大舆情和突发事件舆论引导机制。完善网络综合治理体系，增强网络治理能力。</w:t>
      </w:r>
    </w:p>
    <w:p w14:paraId="4A8BDE10">
      <w:pPr>
        <w:spacing w:line="560" w:lineRule="exact"/>
        <w:ind w:firstLine="640" w:firstLineChars="200"/>
        <w:outlineLvl w:val="2"/>
        <w:rPr>
          <w:b w:val="0"/>
          <w:bCs w:val="0"/>
          <w:color w:val="auto"/>
          <w:highlight w:val="none"/>
        </w:rPr>
      </w:pPr>
      <w:bookmarkStart w:id="623" w:name="_Toc5504"/>
      <w:bookmarkStart w:id="624" w:name="_Toc22976"/>
      <w:r>
        <w:rPr>
          <w:rFonts w:hint="eastAsia"/>
          <w:b w:val="0"/>
          <w:bCs w:val="0"/>
          <w:color w:val="auto"/>
          <w:highlight w:val="none"/>
        </w:rPr>
        <w:t>（二）提升公民文明素养</w:t>
      </w:r>
      <w:bookmarkEnd w:id="623"/>
      <w:bookmarkEnd w:id="624"/>
    </w:p>
    <w:p w14:paraId="05A740E1">
      <w:pPr>
        <w:spacing w:line="560" w:lineRule="exact"/>
        <w:ind w:firstLine="646"/>
        <w:rPr>
          <w:rFonts w:eastAsia="仿宋_GB2312"/>
          <w:color w:val="auto"/>
          <w:kern w:val="0"/>
          <w:highlight w:val="none"/>
        </w:rPr>
      </w:pPr>
      <w:r>
        <w:rPr>
          <w:rFonts w:hint="eastAsia" w:eastAsia="仿宋_GB2312"/>
          <w:color w:val="auto"/>
          <w:kern w:val="0"/>
          <w:highlight w:val="none"/>
        </w:rPr>
        <w:t>建好用好爱国主义教育基地、国防教育基地和新时代文明实践中心，加强党史、新中国史、改革开放史、社会主义发展史教育。深入推进新时代公民道德建设，加强社会公德、职业道德、家庭美德、个人品德建设，全面提高公民道德素质。坚持育人为本，德育为先，深化未成年人思想道德建设，选树宣传新时代好少年，以道德模范、身边好人等先进典型，引领道德风尚，彰显社会道德高度。健全志愿服务体系，广泛开展学雷锋和志愿服务活动，打造</w:t>
      </w:r>
      <w:r>
        <w:rPr>
          <w:rFonts w:hint="eastAsia" w:eastAsia="仿宋_GB2312"/>
          <w:color w:val="auto"/>
          <w:kern w:val="0"/>
          <w:highlight w:val="none"/>
          <w:lang w:eastAsia="zh-CN"/>
        </w:rPr>
        <w:t>“</w:t>
      </w:r>
      <w:r>
        <w:rPr>
          <w:rFonts w:hint="eastAsia" w:eastAsia="仿宋_GB2312"/>
          <w:color w:val="auto"/>
          <w:kern w:val="0"/>
          <w:highlight w:val="none"/>
        </w:rPr>
        <w:t>志愿之城</w:t>
      </w:r>
      <w:r>
        <w:rPr>
          <w:rFonts w:hint="eastAsia" w:eastAsia="仿宋_GB2312"/>
          <w:color w:val="auto"/>
          <w:kern w:val="0"/>
          <w:highlight w:val="none"/>
          <w:lang w:eastAsia="zh-CN"/>
        </w:rPr>
        <w:t>”</w:t>
      </w:r>
      <w:r>
        <w:rPr>
          <w:rFonts w:hint="eastAsia" w:eastAsia="仿宋_GB2312"/>
          <w:color w:val="auto"/>
          <w:kern w:val="0"/>
          <w:highlight w:val="none"/>
        </w:rPr>
        <w:t>。深入开展讲文明树新风活动，推进移风易俗。深化群众性精神文明创建，扎实开展文明城市、文明村镇、文明单位、文明家庭、文明校园创建活动，广泛开展文明交通、文明旅游等专项行动，加强家庭、家教、家风建设。强化网络文明建设，发展积极健康网络文化。</w:t>
      </w:r>
    </w:p>
    <w:p w14:paraId="18A9FC2A">
      <w:pPr>
        <w:spacing w:line="560" w:lineRule="exact"/>
        <w:ind w:firstLine="646"/>
        <w:outlineLvl w:val="1"/>
        <w:rPr>
          <w:rFonts w:eastAsia="黑体"/>
          <w:color w:val="auto"/>
          <w:highlight w:val="none"/>
        </w:rPr>
      </w:pPr>
      <w:bookmarkStart w:id="625" w:name="_Toc6419"/>
      <w:bookmarkStart w:id="626" w:name="_Toc2047"/>
      <w:r>
        <w:rPr>
          <w:rFonts w:hint="eastAsia" w:eastAsia="黑体"/>
          <w:color w:val="auto"/>
          <w:highlight w:val="none"/>
        </w:rPr>
        <w:t>二、</w:t>
      </w:r>
      <w:bookmarkEnd w:id="625"/>
      <w:r>
        <w:rPr>
          <w:rFonts w:hint="eastAsia" w:eastAsia="黑体"/>
          <w:color w:val="auto"/>
          <w:highlight w:val="none"/>
        </w:rPr>
        <w:t>传承发展优秀先进文化</w:t>
      </w:r>
      <w:bookmarkEnd w:id="626"/>
    </w:p>
    <w:p w14:paraId="7BC0BBEF">
      <w:pPr>
        <w:spacing w:line="560" w:lineRule="exact"/>
        <w:ind w:firstLine="646"/>
        <w:rPr>
          <w:rFonts w:eastAsia="仿宋_GB2312"/>
          <w:color w:val="auto"/>
          <w:kern w:val="0"/>
          <w:highlight w:val="none"/>
        </w:rPr>
      </w:pPr>
      <w:r>
        <w:rPr>
          <w:rFonts w:hint="eastAsia" w:eastAsia="仿宋_GB2312"/>
          <w:color w:val="auto"/>
          <w:kern w:val="0"/>
          <w:highlight w:val="none"/>
        </w:rPr>
        <w:t>大力弘扬中华优秀文化，加快发展社会主义先进文化，增强公共文化服务的覆盖面和实效性，提高公共文化质量和服务水平，让人们享有更加充实、更为丰富、更高质量的精神文化生活。</w:t>
      </w:r>
    </w:p>
    <w:p w14:paraId="0BA782FB">
      <w:pPr>
        <w:spacing w:line="560" w:lineRule="exact"/>
        <w:ind w:firstLine="640" w:firstLineChars="200"/>
        <w:outlineLvl w:val="2"/>
        <w:rPr>
          <w:b w:val="0"/>
          <w:bCs w:val="0"/>
          <w:color w:val="auto"/>
          <w:highlight w:val="none"/>
        </w:rPr>
      </w:pPr>
      <w:bookmarkStart w:id="627" w:name="_Toc26267"/>
      <w:bookmarkStart w:id="628" w:name="_Toc27767"/>
      <w:r>
        <w:rPr>
          <w:rFonts w:hint="eastAsia"/>
          <w:b w:val="0"/>
          <w:bCs w:val="0"/>
          <w:color w:val="auto"/>
          <w:highlight w:val="none"/>
        </w:rPr>
        <w:t>（一）塑造城市人文魅力</w:t>
      </w:r>
      <w:bookmarkEnd w:id="627"/>
      <w:bookmarkEnd w:id="628"/>
    </w:p>
    <w:p w14:paraId="3F791461">
      <w:pPr>
        <w:spacing w:line="560" w:lineRule="exact"/>
        <w:ind w:firstLine="646"/>
        <w:rPr>
          <w:rFonts w:eastAsia="仿宋_GB2312"/>
          <w:color w:val="auto"/>
          <w:kern w:val="0"/>
          <w:highlight w:val="none"/>
        </w:rPr>
      </w:pPr>
      <w:r>
        <w:rPr>
          <w:rFonts w:hint="eastAsia" w:eastAsia="仿宋_GB2312"/>
          <w:color w:val="auto"/>
          <w:kern w:val="0"/>
          <w:highlight w:val="none"/>
        </w:rPr>
        <w:t>坚持创造性转化和创新性发展，深入推进中华优秀传统文化传承发展工程。充分发挥山海关、北戴河等人文底蕴优势和国际影响力，深入发掘、整合、传承长城文化、祈福文化、孤竹文化、碣石文化、昌黎干红葡萄酒文化、满族风情文化等历史文脉，提升我市文化底蕴，形成我市独有的城市文化气质。加强重大文物、文化典籍和古籍保护研究利用，建设优秀文化资源数据库。加强历史文化名城名镇名村和街区保护利用，</w:t>
      </w:r>
      <w:r>
        <w:rPr>
          <w:rFonts w:hint="eastAsia" w:eastAsia="仿宋_GB2312"/>
          <w:color w:val="00B0F0"/>
          <w:kern w:val="0"/>
          <w:highlight w:val="none"/>
        </w:rPr>
        <w:t>重点建设</w:t>
      </w:r>
      <w:r>
        <w:rPr>
          <w:rFonts w:hint="eastAsia" w:ascii="Times New Roman" w:hAnsi="Times New Roman" w:eastAsia="仿宋_GB2312" w:cs="Times New Roman"/>
          <w:color w:val="00B0F0"/>
          <w:kern w:val="0"/>
          <w:highlight w:val="none"/>
        </w:rPr>
        <w:t>“一核”</w:t>
      </w:r>
      <w:r>
        <w:rPr>
          <w:rFonts w:hint="eastAsia" w:ascii="Times New Roman" w:hAnsi="Times New Roman" w:eastAsia="仿宋_GB2312" w:cs="Times New Roman"/>
          <w:color w:val="00B0F0"/>
          <w:kern w:val="0"/>
          <w:highlight w:val="none"/>
          <w:lang w:eastAsia="zh-CN"/>
        </w:rPr>
        <w:t>（</w:t>
      </w:r>
      <w:r>
        <w:rPr>
          <w:rFonts w:hint="eastAsia" w:ascii="Times New Roman" w:hAnsi="Times New Roman" w:eastAsia="仿宋_GB2312" w:cs="Times New Roman"/>
          <w:color w:val="00B0F0"/>
          <w:kern w:val="0"/>
          <w:highlight w:val="none"/>
        </w:rPr>
        <w:t>山海关历史文化名城</w:t>
      </w:r>
      <w:r>
        <w:rPr>
          <w:rFonts w:hint="eastAsia" w:ascii="Times New Roman" w:hAnsi="Times New Roman" w:eastAsia="仿宋_GB2312" w:cs="Times New Roman"/>
          <w:color w:val="00B0F0"/>
          <w:kern w:val="0"/>
          <w:highlight w:val="none"/>
          <w:lang w:eastAsia="zh-CN"/>
        </w:rPr>
        <w:t>）、</w:t>
      </w:r>
      <w:r>
        <w:rPr>
          <w:rFonts w:hint="eastAsia" w:ascii="Times New Roman" w:hAnsi="Times New Roman" w:eastAsia="仿宋_GB2312" w:cs="Times New Roman"/>
          <w:color w:val="00B0F0"/>
          <w:kern w:val="0"/>
          <w:highlight w:val="none"/>
        </w:rPr>
        <w:t>“三带”</w:t>
      </w:r>
      <w:r>
        <w:rPr>
          <w:rFonts w:hint="eastAsia" w:ascii="Times New Roman" w:hAnsi="Times New Roman" w:eastAsia="仿宋_GB2312" w:cs="Times New Roman"/>
          <w:color w:val="00B0F0"/>
          <w:kern w:val="0"/>
          <w:highlight w:val="none"/>
          <w:lang w:eastAsia="zh-CN"/>
        </w:rPr>
        <w:t>（</w:t>
      </w:r>
      <w:r>
        <w:rPr>
          <w:rFonts w:hint="eastAsia" w:ascii="Times New Roman" w:hAnsi="Times New Roman" w:eastAsia="仿宋_GB2312" w:cs="Times New Roman"/>
          <w:color w:val="00B0F0"/>
          <w:kern w:val="0"/>
          <w:highlight w:val="none"/>
        </w:rPr>
        <w:t>长城文化展示带、滨海文化展示带、京秦文化展示带</w:t>
      </w:r>
      <w:r>
        <w:rPr>
          <w:rFonts w:hint="eastAsia" w:ascii="Times New Roman" w:hAnsi="Times New Roman" w:eastAsia="仿宋_GB2312" w:cs="Times New Roman"/>
          <w:color w:val="00B0F0"/>
          <w:kern w:val="0"/>
          <w:highlight w:val="none"/>
          <w:lang w:eastAsia="zh-CN"/>
        </w:rPr>
        <w:t>）、</w:t>
      </w:r>
      <w:r>
        <w:rPr>
          <w:rFonts w:hint="eastAsia" w:ascii="Times New Roman" w:hAnsi="Times New Roman" w:eastAsia="仿宋_GB2312" w:cs="Times New Roman"/>
          <w:color w:val="00B0F0"/>
          <w:kern w:val="0"/>
          <w:highlight w:val="none"/>
        </w:rPr>
        <w:t>“多点”</w:t>
      </w:r>
      <w:r>
        <w:rPr>
          <w:rFonts w:hint="eastAsia" w:ascii="Times New Roman" w:hAnsi="Times New Roman" w:eastAsia="仿宋_GB2312" w:cs="Times New Roman"/>
          <w:color w:val="00B0F0"/>
          <w:kern w:val="0"/>
          <w:highlight w:val="none"/>
          <w:lang w:eastAsia="zh-CN"/>
        </w:rPr>
        <w:t>（</w:t>
      </w:r>
      <w:r>
        <w:rPr>
          <w:rFonts w:hint="eastAsia" w:ascii="Times New Roman" w:hAnsi="Times New Roman" w:eastAsia="仿宋_GB2312" w:cs="Times New Roman"/>
          <w:color w:val="00B0F0"/>
          <w:kern w:val="0"/>
          <w:highlight w:val="none"/>
        </w:rPr>
        <w:t>特色节点</w:t>
      </w:r>
      <w:r>
        <w:rPr>
          <w:rFonts w:hint="eastAsia" w:ascii="Times New Roman" w:hAnsi="Times New Roman" w:eastAsia="仿宋_GB2312" w:cs="Times New Roman"/>
          <w:color w:val="00B0F0"/>
          <w:kern w:val="0"/>
          <w:highlight w:val="none"/>
          <w:lang w:eastAsia="zh-CN"/>
        </w:rPr>
        <w:t>）</w:t>
      </w:r>
      <w:r>
        <w:rPr>
          <w:rFonts w:hint="eastAsia" w:ascii="Times New Roman" w:hAnsi="Times New Roman" w:eastAsia="仿宋_GB2312" w:cs="Times New Roman"/>
          <w:color w:val="00B0F0"/>
          <w:kern w:val="0"/>
          <w:highlight w:val="none"/>
        </w:rPr>
        <w:t>。</w:t>
      </w:r>
      <w:r>
        <w:rPr>
          <w:rFonts w:hint="eastAsia" w:ascii="Times New Roman" w:hAnsi="Times New Roman" w:eastAsia="仿宋_GB2312" w:cs="Times New Roman"/>
          <w:color w:val="auto"/>
          <w:kern w:val="0"/>
          <w:highlight w:val="none"/>
          <w:lang w:eastAsia="zh-CN"/>
        </w:rPr>
        <w:t>实</w:t>
      </w:r>
      <w:r>
        <w:rPr>
          <w:rFonts w:hint="eastAsia" w:ascii="Times New Roman" w:hAnsi="Times New Roman" w:eastAsia="仿宋_GB2312" w:cs="Times New Roman"/>
          <w:color w:val="auto"/>
          <w:kern w:val="0"/>
          <w:highlight w:val="none"/>
        </w:rPr>
        <w:t>施</w:t>
      </w:r>
      <w:r>
        <w:rPr>
          <w:rFonts w:hint="eastAsia" w:eastAsia="仿宋_GB2312"/>
          <w:color w:val="auto"/>
          <w:kern w:val="0"/>
          <w:highlight w:val="none"/>
        </w:rPr>
        <w:t>非遗数字化记录工程、传统工艺振兴计划，推动抚宁太平鼓、昌黎地秧歌、卢龙唢呐、青龙猴打棒、山海关荤锅、姜艳华剪纸等非物质文化遗产保护整理和传承传播，打造具有秦皇岛特色的优秀传统文化品牌，推动中华文化展现永久魅力、焕发时代风采。</w:t>
      </w:r>
    </w:p>
    <w:p w14:paraId="5BD55A7D">
      <w:pPr>
        <w:spacing w:line="560" w:lineRule="exact"/>
        <w:ind w:firstLine="640" w:firstLineChars="200"/>
        <w:outlineLvl w:val="2"/>
        <w:rPr>
          <w:b w:val="0"/>
          <w:bCs w:val="0"/>
          <w:color w:val="auto"/>
          <w:highlight w:val="none"/>
        </w:rPr>
      </w:pPr>
      <w:bookmarkStart w:id="629" w:name="_Toc28268"/>
      <w:bookmarkStart w:id="630" w:name="_Toc31209"/>
      <w:r>
        <w:rPr>
          <w:rFonts w:hint="eastAsia"/>
          <w:b w:val="0"/>
          <w:bCs w:val="0"/>
          <w:color w:val="auto"/>
          <w:highlight w:val="none"/>
        </w:rPr>
        <w:t>（二）加强优秀文化作品创作生产和传播</w:t>
      </w:r>
      <w:bookmarkEnd w:id="629"/>
      <w:bookmarkEnd w:id="630"/>
    </w:p>
    <w:p w14:paraId="117F0754">
      <w:pPr>
        <w:spacing w:line="560" w:lineRule="exact"/>
        <w:ind w:firstLine="646"/>
        <w:rPr>
          <w:rFonts w:eastAsia="仿宋_GB2312"/>
          <w:color w:val="auto"/>
          <w:kern w:val="0"/>
          <w:highlight w:val="none"/>
        </w:rPr>
      </w:pPr>
      <w:r>
        <w:rPr>
          <w:rFonts w:hint="eastAsia" w:eastAsia="仿宋_GB2312"/>
          <w:color w:val="auto"/>
          <w:kern w:val="0"/>
          <w:highlight w:val="none"/>
        </w:rPr>
        <w:t>坚持以人民为中心的创作导向，加强优秀文化作品创作生产和传播，持续推动深入生活、扎根人民和文化进万家常态化制度化。实施文化产品质量提升工程，打造一批文艺精品，培育一批知名文化企业，加强文艺精品创作，增加优质精品内容有效供给，聚焦重大主题节点推出一批讴歌党、讴歌祖国、讴歌人民、讴歌英雄的优秀文艺作品。办好品牌节庆文化活动和文化赛事，推出一批具有燕山底蕴、长城风骨、大海气魄、反映新时代气象、讴歌人民新创造的文艺精品。加强网络文艺和群众文艺创作，组织推出一批适合新媒体传播的优秀作品，繁荣发展中国特色的哲学社会科学，打造社科精品。</w:t>
      </w:r>
    </w:p>
    <w:p w14:paraId="226436AD">
      <w:pPr>
        <w:spacing w:line="560" w:lineRule="exact"/>
        <w:ind w:firstLine="646"/>
        <w:outlineLvl w:val="1"/>
        <w:rPr>
          <w:rFonts w:eastAsia="黑体"/>
          <w:color w:val="auto"/>
          <w:highlight w:val="none"/>
        </w:rPr>
      </w:pPr>
      <w:bookmarkStart w:id="631" w:name="_Toc18342"/>
      <w:bookmarkStart w:id="632" w:name="_Toc23096"/>
      <w:r>
        <w:rPr>
          <w:rFonts w:hint="eastAsia" w:eastAsia="黑体"/>
          <w:color w:val="auto"/>
          <w:highlight w:val="none"/>
        </w:rPr>
        <w:t>三、</w:t>
      </w:r>
      <w:bookmarkEnd w:id="631"/>
      <w:r>
        <w:rPr>
          <w:rFonts w:hint="eastAsia" w:eastAsia="黑体"/>
          <w:color w:val="auto"/>
          <w:highlight w:val="none"/>
        </w:rPr>
        <w:t>繁荣发展文化事业和文化产业</w:t>
      </w:r>
      <w:bookmarkEnd w:id="632"/>
    </w:p>
    <w:p w14:paraId="05B4686B">
      <w:pPr>
        <w:spacing w:line="560" w:lineRule="exact"/>
        <w:ind w:firstLine="640" w:firstLineChars="200"/>
        <w:outlineLvl w:val="2"/>
        <w:rPr>
          <w:b w:val="0"/>
          <w:bCs w:val="0"/>
          <w:color w:val="auto"/>
          <w:highlight w:val="none"/>
        </w:rPr>
      </w:pPr>
      <w:bookmarkStart w:id="633" w:name="_Toc650"/>
      <w:r>
        <w:rPr>
          <w:rFonts w:hint="eastAsia"/>
          <w:b w:val="0"/>
          <w:bCs w:val="0"/>
          <w:color w:val="auto"/>
          <w:highlight w:val="none"/>
        </w:rPr>
        <w:t>（一）完善公共文化服务体系</w:t>
      </w:r>
      <w:bookmarkEnd w:id="633"/>
    </w:p>
    <w:p w14:paraId="70DD36C0">
      <w:pPr>
        <w:spacing w:line="560" w:lineRule="exact"/>
        <w:ind w:firstLine="646"/>
        <w:rPr>
          <w:rFonts w:eastAsia="仿宋_GB2312"/>
          <w:color w:val="auto"/>
          <w:kern w:val="0"/>
          <w:highlight w:val="none"/>
        </w:rPr>
      </w:pPr>
      <w:r>
        <w:rPr>
          <w:rFonts w:hint="eastAsia" w:eastAsia="仿宋_GB2312"/>
          <w:color w:val="auto"/>
          <w:kern w:val="0"/>
          <w:highlight w:val="none"/>
        </w:rPr>
        <w:t>坚持政府主导、社会参与、中心下移、共建共享，完善公共文化服务体系，推动公共文化服务标准化均等化，提升现代公共文化服务体系示范区建设质量。优化城乡文化资源配置，完善农村文化基础设施网络，增加农村公共文化服务供给。推进中国长城文化博物馆、秦皇岛文化艺术中心、大剧院等重大文化设施和文化项目建设，提升城市文化品位。推进县级文化馆、图书馆总分馆建设，强化基层综合文化功能中心的文明实践功能。扎实推进服务农民、服务基层文化建设，深入开展</w:t>
      </w:r>
      <w:r>
        <w:rPr>
          <w:rFonts w:hint="eastAsia" w:eastAsia="仿宋_GB2312"/>
          <w:color w:val="auto"/>
          <w:kern w:val="0"/>
          <w:highlight w:val="none"/>
          <w:lang w:eastAsia="zh-CN"/>
        </w:rPr>
        <w:t>“</w:t>
      </w:r>
      <w:r>
        <w:rPr>
          <w:rFonts w:hint="eastAsia" w:eastAsia="仿宋_GB2312"/>
          <w:color w:val="auto"/>
          <w:kern w:val="0"/>
          <w:highlight w:val="none"/>
        </w:rPr>
        <w:t>送文化</w:t>
      </w:r>
      <w:r>
        <w:rPr>
          <w:rFonts w:hint="eastAsia" w:eastAsia="仿宋_GB2312"/>
          <w:color w:val="auto"/>
          <w:kern w:val="0"/>
          <w:highlight w:val="none"/>
          <w:lang w:eastAsia="zh-CN"/>
        </w:rPr>
        <w:t>”</w:t>
      </w:r>
      <w:r>
        <w:rPr>
          <w:rFonts w:hint="eastAsia" w:eastAsia="仿宋_GB2312"/>
          <w:color w:val="auto"/>
          <w:kern w:val="0"/>
          <w:highlight w:val="none"/>
        </w:rPr>
        <w:t>进社区、进乡村活动，创新实施农家书屋建设、农村数字电影公益放映等文化惠民工程，建设基层文艺辅导基地、图书馆馆外基层服务点，支持市、县级公共图书馆、文化馆和国有剧团常年开展流动文化服务。推动媒体深度融合，支持市级新型主流媒体发展，建强用好县级融媒体中心。充分利用新一代信息技术，推动公共文化数字化建设。推动公共文化服务社会化发展，鼓励和引导社会力量兴办公共文化项目、运营公共文化设施，促进服务主体和提供方式多元化。</w:t>
      </w:r>
    </w:p>
    <w:p w14:paraId="7A70EF38">
      <w:pPr>
        <w:spacing w:line="560" w:lineRule="exact"/>
        <w:ind w:firstLine="640" w:firstLineChars="200"/>
        <w:outlineLvl w:val="2"/>
        <w:rPr>
          <w:b w:val="0"/>
          <w:bCs w:val="0"/>
          <w:color w:val="auto"/>
          <w:highlight w:val="none"/>
        </w:rPr>
      </w:pPr>
      <w:bookmarkStart w:id="634" w:name="_Toc5473"/>
      <w:bookmarkStart w:id="635" w:name="_Toc9766"/>
      <w:r>
        <w:rPr>
          <w:rFonts w:hint="eastAsia"/>
          <w:b w:val="0"/>
          <w:bCs w:val="0"/>
          <w:color w:val="auto"/>
          <w:highlight w:val="none"/>
        </w:rPr>
        <w:t>（二）</w:t>
      </w:r>
      <w:bookmarkEnd w:id="634"/>
      <w:bookmarkStart w:id="636" w:name="_Toc31688"/>
      <w:r>
        <w:rPr>
          <w:rFonts w:hint="eastAsia"/>
          <w:b w:val="0"/>
          <w:bCs w:val="0"/>
          <w:color w:val="auto"/>
          <w:highlight w:val="none"/>
        </w:rPr>
        <w:t>提高优质文化供给</w:t>
      </w:r>
      <w:bookmarkEnd w:id="635"/>
      <w:bookmarkEnd w:id="636"/>
    </w:p>
    <w:p w14:paraId="79904DEF">
      <w:pPr>
        <w:spacing w:line="560" w:lineRule="exact"/>
        <w:ind w:firstLine="646"/>
        <w:rPr>
          <w:rFonts w:eastAsia="仿宋_GB2312"/>
          <w:color w:val="auto"/>
          <w:kern w:val="0"/>
          <w:highlight w:val="none"/>
        </w:rPr>
      </w:pPr>
      <w:r>
        <w:rPr>
          <w:rFonts w:hint="eastAsia" w:eastAsia="仿宋_GB2312"/>
          <w:color w:val="auto"/>
          <w:kern w:val="0"/>
          <w:highlight w:val="none"/>
        </w:rPr>
        <w:t>坚持协同发展、差异化发展、创新发展、全链条发展，推动文博文创、数字文化、影视演艺、出版印刷、工艺美术、文化制造等六大门类文化产业快速发展。巩固提升文化制造等传统优势行业，加快新闻出版广播影视演艺提质增效。支持文化企业转型升级，发展壮大各类文化市场主体，建设一批带动影响力强的文化产业项目和文化产业园区。完善文化产业市场体系，建设一批文化和科技深度融合的示范基地和示范企业，建设文化大数据体系。实施文化产业数字化战略，加快发展新型文化企业、文化业态、文化消费模式，推动文化产业与相关产业跨界融合发展。强化对外文化交流，提升秦皇岛文化的传播力和影响力。</w:t>
      </w:r>
    </w:p>
    <w:p w14:paraId="6351BAD6">
      <w:pPr>
        <w:spacing w:line="560" w:lineRule="exact"/>
        <w:ind w:firstLine="640" w:firstLineChars="200"/>
        <w:outlineLvl w:val="2"/>
        <w:rPr>
          <w:b w:val="0"/>
          <w:bCs w:val="0"/>
          <w:color w:val="auto"/>
          <w:highlight w:val="none"/>
        </w:rPr>
      </w:pPr>
      <w:bookmarkStart w:id="637" w:name="_Toc24814"/>
      <w:bookmarkStart w:id="638" w:name="_Toc15481"/>
      <w:r>
        <w:rPr>
          <w:rFonts w:hint="eastAsia"/>
          <w:b w:val="0"/>
          <w:bCs w:val="0"/>
          <w:color w:val="auto"/>
          <w:highlight w:val="none"/>
        </w:rPr>
        <w:t>（三）深化文化体制改革</w:t>
      </w:r>
      <w:bookmarkEnd w:id="637"/>
      <w:bookmarkEnd w:id="638"/>
    </w:p>
    <w:p w14:paraId="06A838F8">
      <w:pPr>
        <w:spacing w:line="560" w:lineRule="exact"/>
        <w:ind w:firstLine="646"/>
        <w:rPr>
          <w:rFonts w:eastAsia="仿宋_GB2312"/>
          <w:color w:val="auto"/>
          <w:kern w:val="0"/>
          <w:highlight w:val="none"/>
        </w:rPr>
      </w:pPr>
      <w:r>
        <w:rPr>
          <w:rFonts w:hint="eastAsia" w:eastAsia="仿宋_GB2312"/>
          <w:color w:val="auto"/>
          <w:kern w:val="0"/>
          <w:highlight w:val="none"/>
        </w:rPr>
        <w:t>完善文化管理体制，建立健全党委领导、政府管理、行业自律、社会监督、企事业单位依法运营的文化管理体制，健全文化生产经营机制。深化文化行政体制改革，推动国有文化企业出资人与主管主办制度有效衔接，完善党委和政府监管有机结合、宣传部门有效主导、管人管事管资产管导向相统一的国有文化资产管理体制机制。创新文化领域社会组织管理，深化文联、记协等党的群团组织改革。分类推进文化事业单位改革。</w:t>
      </w:r>
    </w:p>
    <w:tbl>
      <w:tblPr>
        <w:tblStyle w:val="17"/>
        <w:tblpPr w:leftFromText="180" w:rightFromText="180" w:vertAnchor="text" w:horzAnchor="page" w:tblpX="1760" w:tblpY="50"/>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1E4E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0" w:type="dxa"/>
          </w:tcPr>
          <w:p w14:paraId="347AA4DD">
            <w:pPr>
              <w:spacing w:line="360" w:lineRule="exact"/>
              <w:jc w:val="center"/>
              <w:rPr>
                <w:color w:val="auto"/>
                <w:sz w:val="24"/>
                <w:szCs w:val="24"/>
                <w:highlight w:val="none"/>
              </w:rPr>
            </w:pPr>
            <w:r>
              <w:rPr>
                <w:rFonts w:hint="eastAsia" w:eastAsia="黑体"/>
                <w:bCs/>
                <w:color w:val="auto"/>
                <w:sz w:val="24"/>
                <w:szCs w:val="24"/>
                <w:highlight w:val="none"/>
              </w:rPr>
              <w:t>专栏</w:t>
            </w:r>
            <w:r>
              <w:rPr>
                <w:rFonts w:hint="eastAsia" w:eastAsia="黑体"/>
                <w:bCs/>
                <w:color w:val="auto"/>
                <w:sz w:val="24"/>
                <w:szCs w:val="24"/>
                <w:highlight w:val="none"/>
                <w:lang w:val="en-US" w:eastAsia="zh-CN"/>
              </w:rPr>
              <w:t>9</w:t>
            </w:r>
            <w:r>
              <w:rPr>
                <w:rFonts w:hint="eastAsia" w:eastAsia="黑体"/>
                <w:bCs/>
                <w:color w:val="auto"/>
                <w:sz w:val="24"/>
                <w:szCs w:val="24"/>
                <w:highlight w:val="none"/>
              </w:rPr>
              <w:t>：公共文化建设</w:t>
            </w:r>
          </w:p>
        </w:tc>
      </w:tr>
      <w:tr w14:paraId="0445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000" w:type="dxa"/>
          </w:tcPr>
          <w:p w14:paraId="6C3F1EDD">
            <w:pPr>
              <w:spacing w:line="320" w:lineRule="exact"/>
              <w:ind w:firstLine="422" w:firstLineChars="200"/>
              <w:rPr>
                <w:color w:val="auto"/>
                <w:highlight w:val="none"/>
              </w:rPr>
            </w:pPr>
            <w:r>
              <w:rPr>
                <w:rFonts w:hint="eastAsia" w:eastAsia="宋体"/>
                <w:b/>
                <w:color w:val="auto"/>
                <w:sz w:val="21"/>
                <w:szCs w:val="21"/>
                <w:highlight w:val="none"/>
              </w:rPr>
              <w:t>重点建设项目。</w:t>
            </w:r>
            <w:r>
              <w:rPr>
                <w:rFonts w:hint="eastAsia" w:eastAsia="宋体"/>
                <w:bCs/>
                <w:color w:val="auto"/>
                <w:sz w:val="21"/>
                <w:szCs w:val="21"/>
                <w:highlight w:val="none"/>
              </w:rPr>
              <w:t>山海关</w:t>
            </w:r>
            <w:r>
              <w:rPr>
                <w:rFonts w:hint="eastAsia" w:eastAsia="宋体"/>
                <w:color w:val="auto"/>
                <w:sz w:val="21"/>
                <w:szCs w:val="21"/>
                <w:highlight w:val="none"/>
              </w:rPr>
              <w:t>中国</w:t>
            </w:r>
            <w:r>
              <w:rPr>
                <w:rFonts w:hint="eastAsia" w:eastAsia="宋体"/>
                <w:bCs/>
                <w:color w:val="auto"/>
                <w:sz w:val="21"/>
                <w:szCs w:val="21"/>
                <w:highlight w:val="none"/>
              </w:rPr>
              <w:t>长城文化博物馆、市大剧院、市科技馆、市海燕戏曲艺术剧场、基层综合性文化服务中心、板厂峪长城窑址群遗址博物馆、海港区旅游长城国家文化公园、北戴河区博物馆、北戴河区文物保护利用、北戴河区石塘路历史文化街区、北戴河怪楼文化艺术产业园、路能达国际汽车文化创意产业园、山海关古城遗迹保护提升、山海关核心展示园综合提升、昌黎县博物馆、昌黎县文化中心、卢龙县孤竹博物馆、</w:t>
            </w:r>
            <w:r>
              <w:rPr>
                <w:rFonts w:hint="eastAsia" w:eastAsia="宋体"/>
                <w:bCs/>
                <w:color w:val="auto"/>
                <w:sz w:val="21"/>
                <w:szCs w:val="21"/>
                <w:highlight w:val="none"/>
                <w:lang w:eastAsia="zh-CN"/>
              </w:rPr>
              <w:t>青龙满族自治县</w:t>
            </w:r>
            <w:r>
              <w:rPr>
                <w:rFonts w:hint="eastAsia" w:eastAsia="宋体"/>
                <w:bCs/>
                <w:color w:val="auto"/>
                <w:sz w:val="21"/>
                <w:szCs w:val="21"/>
                <w:highlight w:val="none"/>
              </w:rPr>
              <w:t>非遗展馆、</w:t>
            </w:r>
            <w:r>
              <w:rPr>
                <w:rFonts w:hint="eastAsia" w:eastAsia="宋体"/>
                <w:bCs/>
                <w:color w:val="auto"/>
                <w:sz w:val="21"/>
                <w:szCs w:val="21"/>
                <w:highlight w:val="none"/>
                <w:lang w:eastAsia="zh-CN"/>
              </w:rPr>
              <w:t>青龙满族自治县</w:t>
            </w:r>
            <w:r>
              <w:rPr>
                <w:rFonts w:hint="eastAsia" w:eastAsia="宋体"/>
                <w:bCs/>
                <w:color w:val="auto"/>
                <w:sz w:val="21"/>
                <w:szCs w:val="21"/>
                <w:highlight w:val="none"/>
              </w:rPr>
              <w:t>图书馆。</w:t>
            </w:r>
          </w:p>
        </w:tc>
      </w:tr>
    </w:tbl>
    <w:p w14:paraId="3768301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eastAsia="宋体"/>
          <w:b/>
          <w:color w:val="auto"/>
          <w:sz w:val="32"/>
          <w:szCs w:val="32"/>
          <w:highlight w:val="none"/>
        </w:rPr>
      </w:pPr>
      <w:bookmarkStart w:id="639" w:name="_Toc13991"/>
      <w:bookmarkStart w:id="640" w:name="_Toc30700"/>
      <w:bookmarkStart w:id="641" w:name="_Toc9500"/>
      <w:bookmarkStart w:id="642" w:name="_Toc6706"/>
      <w:bookmarkStart w:id="643" w:name="_Toc597"/>
      <w:bookmarkStart w:id="644" w:name="_Toc2377"/>
      <w:bookmarkStart w:id="645" w:name="_Toc11899"/>
    </w:p>
    <w:p w14:paraId="511EC444">
      <w:pPr>
        <w:spacing w:before="312" w:beforeLines="100" w:after="312" w:afterLines="100" w:line="560" w:lineRule="exact"/>
        <w:jc w:val="center"/>
        <w:outlineLvl w:val="0"/>
        <w:rPr>
          <w:rFonts w:eastAsia="宋体"/>
          <w:b/>
          <w:color w:val="auto"/>
          <w:sz w:val="36"/>
          <w:szCs w:val="36"/>
          <w:highlight w:val="none"/>
        </w:rPr>
      </w:pPr>
      <w:bookmarkStart w:id="646" w:name="_Toc1921"/>
      <w:r>
        <w:rPr>
          <w:rFonts w:hint="eastAsia" w:eastAsia="宋体"/>
          <w:b/>
          <w:color w:val="auto"/>
          <w:sz w:val="36"/>
          <w:szCs w:val="36"/>
          <w:highlight w:val="none"/>
        </w:rPr>
        <w:t>第十一章　改善人民生活品质，打造共建共享共同富裕的幸福</w:t>
      </w:r>
      <w:bookmarkEnd w:id="639"/>
      <w:r>
        <w:rPr>
          <w:rFonts w:hint="eastAsia" w:eastAsia="宋体"/>
          <w:b/>
          <w:color w:val="auto"/>
          <w:sz w:val="36"/>
          <w:szCs w:val="36"/>
          <w:highlight w:val="none"/>
        </w:rPr>
        <w:t>家园</w:t>
      </w:r>
      <w:bookmarkEnd w:id="646"/>
    </w:p>
    <w:p w14:paraId="7D3D5469">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eastAsia="仿宋_GB2312"/>
          <w:color w:val="auto"/>
          <w:kern w:val="0"/>
          <w:highlight w:val="none"/>
        </w:rPr>
      </w:pPr>
      <w:r>
        <w:rPr>
          <w:rFonts w:hint="eastAsia" w:eastAsia="仿宋_GB2312"/>
          <w:color w:val="auto"/>
          <w:kern w:val="0"/>
          <w:highlight w:val="none"/>
        </w:rPr>
        <w:t>始终把人民利益摆在至高无上的地位，尽力而为、量力而行，加强普惠性、基础性、兜底性民生建设，健全基本公共服务体系，滚动实施民生实事，扎实推动共同富裕，让全市人民过上更加美好幸福的生活。</w:t>
      </w:r>
    </w:p>
    <w:p w14:paraId="27BB8D98">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outlineLvl w:val="1"/>
        <w:rPr>
          <w:rFonts w:eastAsia="黑体"/>
          <w:color w:val="auto"/>
          <w:highlight w:val="none"/>
        </w:rPr>
      </w:pPr>
      <w:bookmarkStart w:id="647" w:name="_Toc14641"/>
      <w:bookmarkStart w:id="648" w:name="_Toc2955"/>
      <w:r>
        <w:rPr>
          <w:rFonts w:hint="eastAsia" w:eastAsia="黑体"/>
          <w:color w:val="auto"/>
          <w:highlight w:val="none"/>
        </w:rPr>
        <w:t>一、提高城乡居民收入水平</w:t>
      </w:r>
      <w:bookmarkEnd w:id="647"/>
      <w:bookmarkEnd w:id="648"/>
    </w:p>
    <w:p w14:paraId="4D89DC02">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eastAsia="仿宋_GB2312"/>
          <w:color w:val="auto"/>
          <w:kern w:val="0"/>
          <w:highlight w:val="none"/>
          <w:lang w:eastAsia="zh-CN"/>
        </w:rPr>
      </w:pPr>
      <w:r>
        <w:rPr>
          <w:rFonts w:hint="eastAsia" w:eastAsia="仿宋_GB2312"/>
          <w:color w:val="auto"/>
          <w:kern w:val="0"/>
          <w:highlight w:val="none"/>
        </w:rPr>
        <w:t>坚持多劳多得，提高劳动报酬在初次分配中的比重，</w:t>
      </w:r>
      <w:r>
        <w:rPr>
          <w:rFonts w:hint="eastAsia" w:eastAsia="仿宋_GB2312"/>
          <w:color w:val="auto"/>
          <w:kern w:val="0"/>
          <w:highlight w:val="none"/>
          <w:lang w:eastAsia="zh-CN"/>
        </w:rPr>
        <w:t>拓</w:t>
      </w:r>
      <w:r>
        <w:rPr>
          <w:rFonts w:hint="eastAsia" w:eastAsia="仿宋_GB2312"/>
          <w:color w:val="auto"/>
          <w:kern w:val="0"/>
          <w:highlight w:val="none"/>
        </w:rPr>
        <w:t>宽经营性收入来源，畅通财产性收入渠道，推动居民收入和经济同步增长、劳动报酬和劳动生产率同步增长</w:t>
      </w:r>
      <w:r>
        <w:rPr>
          <w:rFonts w:hint="eastAsia" w:eastAsia="仿宋_GB2312"/>
          <w:color w:val="auto"/>
          <w:kern w:val="0"/>
          <w:highlight w:val="none"/>
          <w:lang w:eastAsia="zh-CN"/>
        </w:rPr>
        <w:t>。</w:t>
      </w:r>
    </w:p>
    <w:p w14:paraId="1CCEDA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b w:val="0"/>
          <w:bCs w:val="0"/>
          <w:color w:val="auto"/>
          <w:highlight w:val="none"/>
        </w:rPr>
      </w:pPr>
      <w:bookmarkStart w:id="649" w:name="_Toc6659"/>
      <w:bookmarkStart w:id="650" w:name="_Toc8147"/>
      <w:r>
        <w:rPr>
          <w:rFonts w:hint="eastAsia"/>
          <w:b w:val="0"/>
          <w:bCs w:val="0"/>
          <w:color w:val="auto"/>
          <w:highlight w:val="none"/>
        </w:rPr>
        <w:t>（一）多渠道增加居民收入</w:t>
      </w:r>
      <w:bookmarkEnd w:id="649"/>
      <w:bookmarkEnd w:id="650"/>
    </w:p>
    <w:p w14:paraId="3D065671">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eastAsia="仿宋_GB2312"/>
          <w:color w:val="auto"/>
          <w:kern w:val="0"/>
          <w:highlight w:val="none"/>
        </w:rPr>
      </w:pPr>
      <w:r>
        <w:rPr>
          <w:rFonts w:hint="eastAsia" w:eastAsia="仿宋_GB2312"/>
          <w:color w:val="auto"/>
          <w:kern w:val="0"/>
          <w:highlight w:val="none"/>
        </w:rPr>
        <w:t>完善工资制度，健全最低工资标准调整、企业工资集体协商和薪酬调查制度，促进中低收入职工工资合理增长；提高农民工劳动合同签约率，健全农民工劳动报酬支付机制；完善城乡居民社会保险和基础养老金调整机制，合理提高社会保障待遇标准，提高城乡居民转移性收入水平；健全公务员工资增长机制和事业单位岗位绩效工资制度。健全各类生产要素由市场决定报酬机制，加快发展多层次资本市场，落实上市公司分红制度，保护投资者特别是中小投资者合法权益，支持有条件的企业实施员工持股计划，拓宽居民租金、股息、红利等增收渠道。合理调节城乡、区域、不同群体间分配关系，扩大中等收入群体，提高低收入群体收入，有效缩小收入分配差距。</w:t>
      </w:r>
    </w:p>
    <w:p w14:paraId="23ABA7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b w:val="0"/>
          <w:bCs w:val="0"/>
          <w:color w:val="auto"/>
          <w:highlight w:val="none"/>
        </w:rPr>
      </w:pPr>
      <w:bookmarkStart w:id="651" w:name="_Toc29961"/>
      <w:bookmarkStart w:id="652" w:name="_Toc228"/>
      <w:r>
        <w:rPr>
          <w:rFonts w:hint="eastAsia"/>
          <w:b w:val="0"/>
          <w:bCs w:val="0"/>
          <w:color w:val="auto"/>
          <w:highlight w:val="none"/>
        </w:rPr>
        <w:t>（二）完善收入分配机制</w:t>
      </w:r>
      <w:bookmarkEnd w:id="651"/>
      <w:bookmarkEnd w:id="652"/>
    </w:p>
    <w:p w14:paraId="5729D88A">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eastAsia="仿宋_GB2312"/>
          <w:color w:val="auto"/>
          <w:kern w:val="0"/>
          <w:highlight w:val="none"/>
        </w:rPr>
      </w:pPr>
      <w:r>
        <w:rPr>
          <w:rFonts w:hint="eastAsia" w:eastAsia="仿宋_GB2312"/>
          <w:color w:val="auto"/>
          <w:kern w:val="0"/>
          <w:highlight w:val="none"/>
        </w:rPr>
        <w:t>全面贯彻落实以增加知识价值为导向的收入分配政策，健全技术要素参与分配机制，鼓励企事业单位对紧缺急需的高层次、高技能人才实行协议工资、项目工资等。加强知识产权保护，完善有利于科技成果转移转化的分配政策，探索建立科技成果入股、岗位分红权激励等多种分配办法，保障技术成果在分配中的应得份额。健全公共财政体系，完善转移支付制度，调整财政支出结构，加大税收调节力度，推进结构性减税，减轻中低收入者和中小微企业税费负担。严格控制行政事业单位机构编制，降低行政成本，集中更多财力用于保障和改善民生，加大对教育、就业、社会保障、医疗卫生、保障性住房等方面的支出。加强对困难群体救助和帮扶，提高优抚对象抚恤补助标准，建立健全经济困难的高龄、独居、失能等老年人补贴和困难残疾人生活补贴、重度残疾人护理补贴制度，完善孤儿基本生活保障制度。大力发展社会慈善事业。全面落实国家基本工资标准调整和艰苦边远地区津贴标准调整政策。</w:t>
      </w:r>
    </w:p>
    <w:bookmarkEnd w:id="640"/>
    <w:bookmarkEnd w:id="641"/>
    <w:bookmarkEnd w:id="642"/>
    <w:bookmarkEnd w:id="643"/>
    <w:bookmarkEnd w:id="644"/>
    <w:bookmarkEnd w:id="645"/>
    <w:p w14:paraId="66D98372">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1"/>
        <w:rPr>
          <w:rFonts w:eastAsia="黑体"/>
          <w:color w:val="auto"/>
          <w:highlight w:val="none"/>
        </w:rPr>
      </w:pPr>
      <w:bookmarkStart w:id="653" w:name="_Toc7779"/>
      <w:bookmarkStart w:id="654" w:name="_Toc9603"/>
      <w:bookmarkStart w:id="655" w:name="_Toc12111"/>
      <w:bookmarkStart w:id="656" w:name="_Toc23961"/>
      <w:bookmarkStart w:id="657" w:name="_Toc8181"/>
      <w:bookmarkStart w:id="658" w:name="_Toc10328"/>
      <w:bookmarkStart w:id="659" w:name="_Toc24453"/>
      <w:bookmarkStart w:id="660" w:name="_Toc4752"/>
      <w:bookmarkStart w:id="661" w:name="_Toc27283"/>
      <w:r>
        <w:rPr>
          <w:rFonts w:hint="eastAsia" w:eastAsia="黑体"/>
          <w:color w:val="auto"/>
          <w:highlight w:val="none"/>
        </w:rPr>
        <w:t>二、实施更加积极的就业政策</w:t>
      </w:r>
      <w:bookmarkEnd w:id="653"/>
      <w:bookmarkEnd w:id="654"/>
      <w:bookmarkEnd w:id="655"/>
      <w:bookmarkEnd w:id="656"/>
      <w:bookmarkEnd w:id="657"/>
      <w:bookmarkEnd w:id="658"/>
      <w:bookmarkEnd w:id="659"/>
    </w:p>
    <w:p w14:paraId="40891E04">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eastAsia="仿宋_GB2312"/>
          <w:color w:val="auto"/>
          <w:kern w:val="0"/>
          <w:highlight w:val="none"/>
        </w:rPr>
      </w:pPr>
      <w:r>
        <w:rPr>
          <w:rFonts w:hint="eastAsia" w:eastAsia="仿宋_GB2312"/>
          <w:color w:val="auto"/>
          <w:kern w:val="0"/>
          <w:highlight w:val="none"/>
        </w:rPr>
        <w:t>坚持把就业作为民生之本，完善就业创业支撑体系，优化就业结构，拓展就业渠道，千方百计稳定和扩大就业，努力实现城乡居民更高质量和更充分的就业。</w:t>
      </w:r>
    </w:p>
    <w:p w14:paraId="4D4E5F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b w:val="0"/>
          <w:bCs w:val="0"/>
          <w:color w:val="auto"/>
          <w:highlight w:val="none"/>
        </w:rPr>
      </w:pPr>
      <w:bookmarkStart w:id="662" w:name="_Toc24948"/>
      <w:bookmarkStart w:id="663" w:name="_Toc9443"/>
      <w:r>
        <w:rPr>
          <w:rFonts w:hint="eastAsia"/>
          <w:b w:val="0"/>
          <w:bCs w:val="0"/>
          <w:color w:val="auto"/>
          <w:highlight w:val="none"/>
        </w:rPr>
        <w:t>（一）扩大就业容量和空间</w:t>
      </w:r>
      <w:bookmarkEnd w:id="662"/>
      <w:bookmarkEnd w:id="663"/>
    </w:p>
    <w:p w14:paraId="2B9B6B1D">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eastAsia="仿宋_GB2312"/>
          <w:color w:val="auto"/>
          <w:kern w:val="0"/>
          <w:highlight w:val="none"/>
        </w:rPr>
      </w:pPr>
      <w:r>
        <w:rPr>
          <w:rFonts w:hint="eastAsia" w:eastAsia="仿宋_GB2312"/>
          <w:color w:val="auto"/>
          <w:kern w:val="0"/>
          <w:highlight w:val="none"/>
        </w:rPr>
        <w:t>坚持把稳就业、保居民就业放在首要位置，提升经济发展就业导向、就业容量和质量。加强宏观政策统筹协调联动，优先实施就业带动能力强的重大投资、重大项目，增加更多的就业岗位。鼓励个体经济发展，增加非全日制就业机会，促进人才流动和灵活就业。支持和规范发展新就业形态，促进数字经济、平台经济、共享经济健康发展，扩大就业空间。高标准建设双创示范基地，鼓励大众创业、万众创新，推广新兴孵化模式，加快发展众创空间。统筹抓好高校毕业生、退役军人、农民工、残疾人、就业困难人员等重点群体就业工作，更加注重缓解产业结构升级、经济发展格局调整、教育培训体制改革滞后等因素带来的结构性就业矛盾。</w:t>
      </w:r>
    </w:p>
    <w:p w14:paraId="575118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b w:val="0"/>
          <w:bCs w:val="0"/>
          <w:color w:val="auto"/>
          <w:highlight w:val="none"/>
        </w:rPr>
      </w:pPr>
      <w:bookmarkStart w:id="664" w:name="_Toc14391"/>
      <w:bookmarkStart w:id="665" w:name="_Toc27770"/>
      <w:r>
        <w:rPr>
          <w:rFonts w:hint="eastAsia"/>
          <w:b w:val="0"/>
          <w:bCs w:val="0"/>
          <w:color w:val="auto"/>
          <w:highlight w:val="none"/>
        </w:rPr>
        <w:t>（二）加强公共就业服务</w:t>
      </w:r>
      <w:bookmarkEnd w:id="664"/>
      <w:bookmarkEnd w:id="665"/>
    </w:p>
    <w:p w14:paraId="224B1C0A">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eastAsia="仿宋_GB2312"/>
          <w:color w:val="auto"/>
          <w:kern w:val="0"/>
          <w:highlight w:val="none"/>
        </w:rPr>
      </w:pPr>
      <w:r>
        <w:rPr>
          <w:rFonts w:hint="eastAsia" w:eastAsia="仿宋_GB2312"/>
          <w:color w:val="auto"/>
          <w:kern w:val="0"/>
          <w:highlight w:val="none"/>
        </w:rPr>
        <w:t>积极组织开展</w:t>
      </w:r>
      <w:r>
        <w:rPr>
          <w:rFonts w:hint="eastAsia" w:eastAsia="仿宋_GB2312"/>
          <w:color w:val="auto"/>
          <w:kern w:val="0"/>
          <w:highlight w:val="none"/>
          <w:lang w:eastAsia="zh-CN"/>
        </w:rPr>
        <w:t>“</w:t>
      </w:r>
      <w:r>
        <w:rPr>
          <w:rFonts w:hint="eastAsia" w:eastAsia="仿宋_GB2312"/>
          <w:color w:val="auto"/>
          <w:kern w:val="0"/>
          <w:highlight w:val="none"/>
        </w:rPr>
        <w:t>就业援助月</w:t>
      </w:r>
      <w:r>
        <w:rPr>
          <w:rFonts w:hint="eastAsia" w:eastAsia="仿宋_GB2312"/>
          <w:color w:val="auto"/>
          <w:kern w:val="0"/>
          <w:highlight w:val="none"/>
          <w:lang w:eastAsia="zh-CN"/>
        </w:rPr>
        <w:t>”“</w:t>
      </w:r>
      <w:r>
        <w:rPr>
          <w:rFonts w:hint="eastAsia" w:eastAsia="仿宋_GB2312"/>
          <w:color w:val="auto"/>
          <w:kern w:val="0"/>
          <w:highlight w:val="none"/>
        </w:rPr>
        <w:t>春风行动</w:t>
      </w:r>
      <w:r>
        <w:rPr>
          <w:rFonts w:hint="eastAsia" w:eastAsia="仿宋_GB2312"/>
          <w:color w:val="auto"/>
          <w:kern w:val="0"/>
          <w:highlight w:val="none"/>
          <w:lang w:eastAsia="zh-CN"/>
        </w:rPr>
        <w:t>”“</w:t>
      </w:r>
      <w:r>
        <w:rPr>
          <w:rFonts w:hint="eastAsia" w:eastAsia="仿宋_GB2312"/>
          <w:color w:val="auto"/>
          <w:kern w:val="0"/>
          <w:highlight w:val="none"/>
        </w:rPr>
        <w:t>民营企业招聘周</w:t>
      </w:r>
      <w:r>
        <w:rPr>
          <w:rFonts w:hint="eastAsia" w:eastAsia="仿宋_GB2312"/>
          <w:color w:val="auto"/>
          <w:kern w:val="0"/>
          <w:highlight w:val="none"/>
          <w:lang w:eastAsia="zh-CN"/>
        </w:rPr>
        <w:t>”“</w:t>
      </w:r>
      <w:r>
        <w:rPr>
          <w:rFonts w:hint="eastAsia" w:eastAsia="仿宋_GB2312"/>
          <w:color w:val="auto"/>
          <w:kern w:val="0"/>
          <w:highlight w:val="none"/>
        </w:rPr>
        <w:t>高校毕业生就业服务月</w:t>
      </w:r>
      <w:r>
        <w:rPr>
          <w:rFonts w:hint="eastAsia" w:eastAsia="仿宋_GB2312"/>
          <w:color w:val="auto"/>
          <w:kern w:val="0"/>
          <w:highlight w:val="none"/>
          <w:lang w:eastAsia="zh-CN"/>
        </w:rPr>
        <w:t>”“</w:t>
      </w:r>
      <w:r>
        <w:rPr>
          <w:rFonts w:hint="eastAsia" w:eastAsia="仿宋_GB2312"/>
          <w:color w:val="auto"/>
          <w:kern w:val="0"/>
          <w:highlight w:val="none"/>
        </w:rPr>
        <w:t>退役军人春季专场招聘会</w:t>
      </w:r>
      <w:r>
        <w:rPr>
          <w:rFonts w:hint="eastAsia" w:eastAsia="仿宋_GB2312"/>
          <w:color w:val="auto"/>
          <w:kern w:val="0"/>
          <w:highlight w:val="none"/>
          <w:lang w:eastAsia="zh-CN"/>
        </w:rPr>
        <w:t>”</w:t>
      </w:r>
      <w:r>
        <w:rPr>
          <w:rFonts w:hint="eastAsia" w:eastAsia="仿宋_GB2312"/>
          <w:color w:val="auto"/>
          <w:kern w:val="0"/>
          <w:highlight w:val="none"/>
        </w:rPr>
        <w:t>等就业专项服务活动，推进用人单位与服务对象精准高效对接，促进广大城乡劳动者多渠道、多形式灵活就业。加强人力资源市场建设，完善职业供求状况分析、就业创业指导、职业介绍、岗位选拔、用工备案、就业失业登记等一站式服务，充分运用</w:t>
      </w:r>
      <w:r>
        <w:rPr>
          <w:rFonts w:hint="eastAsia" w:eastAsia="仿宋_GB2312"/>
          <w:color w:val="auto"/>
          <w:kern w:val="0"/>
          <w:highlight w:val="none"/>
          <w:lang w:eastAsia="zh-CN"/>
        </w:rPr>
        <w:t>“</w:t>
      </w:r>
      <w:r>
        <w:rPr>
          <w:rFonts w:hint="eastAsia" w:eastAsia="仿宋_GB2312"/>
          <w:color w:val="auto"/>
          <w:kern w:val="0"/>
          <w:highlight w:val="none"/>
        </w:rPr>
        <w:t>互联网</w:t>
      </w:r>
      <w:r>
        <w:rPr>
          <w:rFonts w:eastAsia="仿宋_GB2312"/>
          <w:color w:val="auto"/>
          <w:kern w:val="0"/>
          <w:highlight w:val="none"/>
        </w:rPr>
        <w:t>+</w:t>
      </w:r>
      <w:r>
        <w:rPr>
          <w:rFonts w:hint="eastAsia" w:eastAsia="仿宋_GB2312"/>
          <w:color w:val="auto"/>
          <w:kern w:val="0"/>
          <w:highlight w:val="none"/>
        </w:rPr>
        <w:t>就业</w:t>
      </w:r>
      <w:r>
        <w:rPr>
          <w:rFonts w:hint="eastAsia" w:eastAsia="仿宋_GB2312"/>
          <w:color w:val="auto"/>
          <w:kern w:val="0"/>
          <w:highlight w:val="none"/>
          <w:lang w:eastAsia="zh-CN"/>
        </w:rPr>
        <w:t>”</w:t>
      </w:r>
      <w:r>
        <w:rPr>
          <w:rFonts w:hint="eastAsia" w:eastAsia="仿宋_GB2312"/>
          <w:color w:val="auto"/>
          <w:kern w:val="0"/>
          <w:highlight w:val="none"/>
        </w:rPr>
        <w:t>技术，推进就业信息互通共享。强化职业技能培训，实施职业技能提升计划和返乡创业培训计划，扩大职业技能培训人群范围，面向重点人群开展补贴性职业技能培训，支持各类企业、各类培训机构共建产教融合型培训基地。完善失业监测预警机制，及时监测掌握企业人员变动情况及趋势，适时发布预警信息</w:t>
      </w:r>
      <w:r>
        <w:rPr>
          <w:rFonts w:hint="eastAsia" w:eastAsia="仿宋_GB2312"/>
          <w:color w:val="auto"/>
          <w:kern w:val="0"/>
          <w:highlight w:val="none"/>
          <w:lang w:eastAsia="zh-CN"/>
        </w:rPr>
        <w:t>，</w:t>
      </w:r>
      <w:r>
        <w:rPr>
          <w:rFonts w:hint="eastAsia" w:eastAsia="仿宋_GB2312"/>
          <w:color w:val="auto"/>
          <w:kern w:val="0"/>
          <w:highlight w:val="none"/>
        </w:rPr>
        <w:t>坚决防止规模性失业风险。</w:t>
      </w:r>
    </w:p>
    <w:p w14:paraId="507897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b w:val="0"/>
          <w:bCs w:val="0"/>
          <w:color w:val="auto"/>
          <w:highlight w:val="none"/>
        </w:rPr>
      </w:pPr>
      <w:bookmarkStart w:id="666" w:name="_Toc23052"/>
      <w:bookmarkStart w:id="667" w:name="_Toc11746"/>
      <w:r>
        <w:rPr>
          <w:rFonts w:hint="eastAsia"/>
          <w:b w:val="0"/>
          <w:bCs w:val="0"/>
          <w:color w:val="auto"/>
          <w:highlight w:val="none"/>
        </w:rPr>
        <w:t>（三）健全就业制度保障体系</w:t>
      </w:r>
      <w:bookmarkEnd w:id="666"/>
      <w:bookmarkEnd w:id="667"/>
    </w:p>
    <w:p w14:paraId="043BE186">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eastAsia="仿宋_GB2312"/>
          <w:color w:val="auto"/>
          <w:kern w:val="0"/>
          <w:highlight w:val="none"/>
        </w:rPr>
      </w:pPr>
      <w:r>
        <w:rPr>
          <w:rFonts w:hint="eastAsia" w:eastAsia="仿宋_GB2312"/>
          <w:color w:val="auto"/>
          <w:kern w:val="0"/>
          <w:highlight w:val="none"/>
        </w:rPr>
        <w:t>深化劳动就业制度改革，完善城乡社会保障体系，促进劳动力在城乡之间自由流动，实现城乡劳动者平等就业、同工同酬。健全劳动争议调解仲裁机制，完善劳动关系群体性事件预防和应急处置机制。加强劳动保障诚信评价制度建设，全面落实劳动和社会保障法人失信惩戒办法，切实保障劳动者休息休假、获得劳动安全卫生保护、享受社会保障和接受职业技能培训等方面的权益。加强就业创业资金管理</w:t>
      </w:r>
      <w:r>
        <w:rPr>
          <w:rFonts w:hint="eastAsia" w:eastAsia="仿宋_GB2312"/>
          <w:color w:val="auto"/>
          <w:kern w:val="0"/>
          <w:highlight w:val="none"/>
          <w:lang w:eastAsia="zh-CN"/>
        </w:rPr>
        <w:t>，</w:t>
      </w:r>
      <w:r>
        <w:rPr>
          <w:rFonts w:hint="eastAsia" w:eastAsia="仿宋_GB2312"/>
          <w:color w:val="auto"/>
          <w:kern w:val="0"/>
          <w:highlight w:val="none"/>
        </w:rPr>
        <w:t>精准使用就业专项资金</w:t>
      </w:r>
      <w:r>
        <w:rPr>
          <w:rFonts w:hint="eastAsia" w:eastAsia="仿宋_GB2312"/>
          <w:color w:val="auto"/>
          <w:kern w:val="0"/>
          <w:highlight w:val="none"/>
          <w:lang w:eastAsia="zh-CN"/>
        </w:rPr>
        <w:t>，</w:t>
      </w:r>
      <w:r>
        <w:rPr>
          <w:rFonts w:hint="eastAsia" w:eastAsia="仿宋_GB2312"/>
          <w:color w:val="auto"/>
          <w:kern w:val="0"/>
          <w:highlight w:val="none"/>
        </w:rPr>
        <w:t>将资金集中投入到创业创新项目上。进一步加大创业担保贷款扶持力度，简化办事程序，全面推行网上受理，鼓励扶持更多的劳动者创业创新。强化失业就业援助，对就业困难人员实行就业援助和托底安置。</w:t>
      </w:r>
    </w:p>
    <w:p w14:paraId="59146C60">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1"/>
        <w:rPr>
          <w:rFonts w:eastAsia="黑体"/>
          <w:color w:val="auto"/>
          <w:highlight w:val="none"/>
        </w:rPr>
      </w:pPr>
      <w:bookmarkStart w:id="668" w:name="_Toc5959"/>
      <w:bookmarkStart w:id="669" w:name="_Toc19869"/>
      <w:bookmarkStart w:id="670" w:name="_Toc26333"/>
      <w:bookmarkStart w:id="671" w:name="_Toc17151"/>
      <w:bookmarkStart w:id="672" w:name="_Toc10552"/>
      <w:bookmarkStart w:id="673" w:name="_Toc16636"/>
      <w:bookmarkStart w:id="674" w:name="_Toc17367"/>
      <w:r>
        <w:rPr>
          <w:rFonts w:hint="eastAsia" w:eastAsia="黑体"/>
          <w:color w:val="auto"/>
          <w:highlight w:val="none"/>
        </w:rPr>
        <w:t>三、加快推进教育现代化</w:t>
      </w:r>
      <w:bookmarkEnd w:id="668"/>
      <w:bookmarkEnd w:id="669"/>
      <w:bookmarkEnd w:id="670"/>
      <w:bookmarkEnd w:id="671"/>
      <w:bookmarkEnd w:id="672"/>
      <w:bookmarkEnd w:id="673"/>
      <w:bookmarkEnd w:id="674"/>
    </w:p>
    <w:p w14:paraId="4F5DB5D6">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eastAsia="仿宋_GB2312"/>
          <w:color w:val="auto"/>
          <w:kern w:val="0"/>
          <w:highlight w:val="none"/>
        </w:rPr>
      </w:pPr>
      <w:r>
        <w:rPr>
          <w:rFonts w:hint="eastAsia" w:eastAsia="仿宋_GB2312"/>
          <w:color w:val="auto"/>
          <w:kern w:val="0"/>
          <w:highlight w:val="none"/>
        </w:rPr>
        <w:t>全面贯彻党的教育方针，牢记为党育人、为国育才使命，优化教育资源布局结构，加强教育基础设施建设，推进教育公平，深化新时代教育评价改革，落实立德树人根本任务，加强师德师风建设，践行教书育人使命，培养德智体美劳全面发展的社会主义建设者和接班人。</w:t>
      </w:r>
    </w:p>
    <w:p w14:paraId="0DFB29E3">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2"/>
        <w:rPr>
          <w:rFonts w:eastAsia="仿宋_GB2312"/>
          <w:b w:val="0"/>
          <w:bCs w:val="0"/>
          <w:color w:val="auto"/>
          <w:kern w:val="0"/>
          <w:highlight w:val="none"/>
        </w:rPr>
      </w:pPr>
      <w:bookmarkStart w:id="675" w:name="_Toc6346"/>
      <w:bookmarkStart w:id="676" w:name="_Toc5025"/>
      <w:r>
        <w:rPr>
          <w:rFonts w:hint="eastAsia" w:eastAsia="楷体"/>
          <w:b w:val="0"/>
          <w:bCs w:val="0"/>
          <w:color w:val="auto"/>
          <w:kern w:val="0"/>
          <w:highlight w:val="none"/>
        </w:rPr>
        <w:t>（一）推动学前教育普及普惠安全发展</w:t>
      </w:r>
      <w:bookmarkEnd w:id="675"/>
      <w:bookmarkEnd w:id="676"/>
    </w:p>
    <w:p w14:paraId="2C86CB4D">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eastAsia="仿宋_GB2312"/>
          <w:color w:val="auto"/>
          <w:kern w:val="0"/>
          <w:highlight w:val="none"/>
        </w:rPr>
      </w:pPr>
      <w:r>
        <w:rPr>
          <w:rFonts w:hint="eastAsia" w:eastAsia="仿宋_GB2312"/>
          <w:color w:val="auto"/>
          <w:kern w:val="0"/>
          <w:highlight w:val="none"/>
        </w:rPr>
        <w:t>坚持公益性和普惠性，科学规划幼儿园布局，调整办园结构，扩大资源供给途径，健全学前教育经费投入长效机制，强化师资队伍建设，提高保教质量，积极构建覆盖城乡、布局合理、办园规范、师资达标、保教优质、公益普惠的学前教育体系。</w:t>
      </w:r>
      <w:r>
        <w:rPr>
          <w:rFonts w:hint="eastAsia" w:eastAsia="仿宋_GB2312"/>
          <w:color w:val="auto"/>
          <w:kern w:val="0"/>
          <w:highlight w:val="none"/>
          <w:lang w:eastAsia="zh-CN"/>
        </w:rPr>
        <w:t>加强婴幼儿早期教育，研究探索托幼一体化教育体系。</w:t>
      </w:r>
      <w:r>
        <w:rPr>
          <w:rFonts w:hint="eastAsia" w:eastAsia="仿宋_GB2312"/>
          <w:color w:val="auto"/>
          <w:kern w:val="0"/>
          <w:highlight w:val="none"/>
        </w:rPr>
        <w:t>全市公办幼儿园</w:t>
      </w:r>
      <w:r>
        <w:rPr>
          <w:rFonts w:hint="eastAsia" w:eastAsia="仿宋_GB2312"/>
          <w:color w:val="auto"/>
          <w:kern w:val="0"/>
          <w:highlight w:val="none"/>
          <w:lang w:eastAsia="zh-CN"/>
        </w:rPr>
        <w:t>在园幼儿占</w:t>
      </w:r>
      <w:r>
        <w:rPr>
          <w:rFonts w:hint="eastAsia" w:eastAsia="仿宋_GB2312"/>
          <w:color w:val="auto"/>
          <w:kern w:val="0"/>
          <w:highlight w:val="none"/>
        </w:rPr>
        <w:t>比</w:t>
      </w:r>
      <w:r>
        <w:rPr>
          <w:rFonts w:hint="eastAsia" w:eastAsia="仿宋_GB2312"/>
          <w:color w:val="auto"/>
          <w:kern w:val="0"/>
          <w:highlight w:val="none"/>
          <w:lang w:eastAsia="zh-CN"/>
        </w:rPr>
        <w:t>达到</w:t>
      </w:r>
      <w:r>
        <w:rPr>
          <w:rFonts w:eastAsia="仿宋_GB2312"/>
          <w:color w:val="auto"/>
          <w:kern w:val="0"/>
          <w:highlight w:val="none"/>
        </w:rPr>
        <w:t>50%</w:t>
      </w:r>
      <w:r>
        <w:rPr>
          <w:rFonts w:hint="eastAsia" w:eastAsia="仿宋_GB2312"/>
          <w:color w:val="auto"/>
          <w:kern w:val="0"/>
          <w:highlight w:val="none"/>
        </w:rPr>
        <w:t>以上，普惠性幼儿园</w:t>
      </w:r>
      <w:r>
        <w:rPr>
          <w:rFonts w:hint="eastAsia" w:eastAsia="仿宋_GB2312"/>
          <w:color w:val="auto"/>
          <w:kern w:val="0"/>
          <w:highlight w:val="none"/>
          <w:lang w:eastAsia="zh-CN"/>
        </w:rPr>
        <w:t>覆盖率达到</w:t>
      </w:r>
      <w:r>
        <w:rPr>
          <w:rFonts w:eastAsia="仿宋_GB2312"/>
          <w:color w:val="auto"/>
          <w:kern w:val="0"/>
          <w:highlight w:val="none"/>
        </w:rPr>
        <w:t>80%</w:t>
      </w:r>
      <w:r>
        <w:rPr>
          <w:rFonts w:hint="eastAsia" w:eastAsia="仿宋_GB2312"/>
          <w:color w:val="auto"/>
          <w:kern w:val="0"/>
          <w:highlight w:val="none"/>
        </w:rPr>
        <w:t>以上。大力推进新型公办幼儿园改革，运转经费由政府投入，以事定费，人员实行社会化管理，全员聘任。鼓励支持有实力的国有企事业单位、普通高校举办公办幼儿园，在满足本单位职工子女入园的同时，为社会提供普惠性服务。鼓励社会力量兴办幼儿园，通过政府购买服务、综合奖补、减免租金、教研指导等方式，支持普惠性民办园发展。完善幼儿园监管体系，落实监管责任，强化幼儿园准入管理，完善年检制度，健全幼儿园安全风险防控机制，强化办园行为督导，加大社会协同监管力度。</w:t>
      </w:r>
    </w:p>
    <w:p w14:paraId="05D282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b w:val="0"/>
          <w:bCs w:val="0"/>
          <w:color w:val="auto"/>
          <w:highlight w:val="none"/>
        </w:rPr>
      </w:pPr>
      <w:bookmarkStart w:id="677" w:name="_Toc21953"/>
      <w:bookmarkStart w:id="678" w:name="_Toc20146"/>
      <w:r>
        <w:rPr>
          <w:rFonts w:hint="eastAsia"/>
          <w:b w:val="0"/>
          <w:bCs w:val="0"/>
          <w:color w:val="auto"/>
          <w:highlight w:val="none"/>
        </w:rPr>
        <w:t>（二）实现义务教育优质均衡发展</w:t>
      </w:r>
      <w:bookmarkEnd w:id="677"/>
      <w:bookmarkEnd w:id="678"/>
    </w:p>
    <w:p w14:paraId="48EA0E9B">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eastAsia="仿宋_GB2312"/>
          <w:color w:val="auto"/>
          <w:kern w:val="0"/>
          <w:highlight w:val="none"/>
          <w:lang w:eastAsia="zh-CN"/>
        </w:rPr>
      </w:pPr>
      <w:r>
        <w:rPr>
          <w:rFonts w:hint="eastAsia" w:eastAsia="仿宋_GB2312"/>
          <w:color w:val="auto"/>
          <w:kern w:val="0"/>
          <w:highlight w:val="none"/>
        </w:rPr>
        <w:t>全面提升义务教育学校标准化建设水平，抓好义务教育薄弱环节改善与能力提升工程，扩大城乡义务教育资源供给，促进城乡义务教育优质均衡发展。提升中小学教育质量，加大教师和校长交流轮岗力度，实施乡村教师支教计划，推动城市优质教育资源向农村流动，提升农村中小学内涵发展水平。推进城乡教育一体化发展，以县区为单位，推进办学目标整体设计、学校管理紧密融合、课程教学相互衔接、师资安排学段贯通。推进学区化管理、集团化办学，实现优质学校与薄弱学校捆绑发展，集团（学区）内课程、师资、管理、设施设备等资源共享，拓展优质教育资源覆盖面。</w:t>
      </w:r>
      <w:r>
        <w:rPr>
          <w:rFonts w:hint="eastAsia" w:ascii="仿宋_GB2312" w:hAnsi="宋体" w:eastAsia="仿宋_GB2312" w:cs="仿宋_GB2312"/>
          <w:i w:val="0"/>
          <w:caps w:val="0"/>
          <w:color w:val="auto"/>
          <w:spacing w:val="0"/>
          <w:sz w:val="32"/>
          <w:szCs w:val="32"/>
          <w:highlight w:val="none"/>
          <w:shd w:val="clear" w:fill="FFFFFF"/>
          <w:lang w:eastAsia="zh-CN"/>
        </w:rPr>
        <w:t>积极引进</w:t>
      </w:r>
      <w:r>
        <w:rPr>
          <w:rFonts w:ascii="仿宋_GB2312" w:hAnsi="宋体" w:eastAsia="仿宋_GB2312" w:cs="仿宋_GB2312"/>
          <w:i w:val="0"/>
          <w:caps w:val="0"/>
          <w:color w:val="auto"/>
          <w:spacing w:val="0"/>
          <w:sz w:val="32"/>
          <w:szCs w:val="32"/>
          <w:highlight w:val="none"/>
          <w:shd w:val="clear" w:fill="FFFFFF"/>
        </w:rPr>
        <w:t>国内</w:t>
      </w:r>
      <w:r>
        <w:rPr>
          <w:rFonts w:hint="eastAsia" w:ascii="仿宋_GB2312" w:hAnsi="宋体" w:eastAsia="仿宋_GB2312" w:cs="仿宋_GB2312"/>
          <w:i w:val="0"/>
          <w:caps w:val="0"/>
          <w:color w:val="auto"/>
          <w:spacing w:val="0"/>
          <w:sz w:val="32"/>
          <w:szCs w:val="32"/>
          <w:highlight w:val="none"/>
          <w:shd w:val="clear" w:fill="FFFFFF"/>
          <w:lang w:eastAsia="zh-CN"/>
        </w:rPr>
        <w:t>外</w:t>
      </w:r>
      <w:r>
        <w:rPr>
          <w:rFonts w:ascii="仿宋_GB2312" w:hAnsi="宋体" w:eastAsia="仿宋_GB2312" w:cs="仿宋_GB2312"/>
          <w:i w:val="0"/>
          <w:caps w:val="0"/>
          <w:color w:val="auto"/>
          <w:spacing w:val="0"/>
          <w:sz w:val="32"/>
          <w:szCs w:val="32"/>
          <w:highlight w:val="none"/>
          <w:shd w:val="clear" w:fill="FFFFFF"/>
        </w:rPr>
        <w:t>优质教育资源，</w:t>
      </w:r>
      <w:r>
        <w:rPr>
          <w:rFonts w:hint="eastAsia" w:ascii="仿宋_GB2312" w:hAnsi="宋体" w:eastAsia="仿宋_GB2312" w:cs="仿宋_GB2312"/>
          <w:i w:val="0"/>
          <w:caps w:val="0"/>
          <w:color w:val="auto"/>
          <w:spacing w:val="0"/>
          <w:sz w:val="32"/>
          <w:szCs w:val="32"/>
          <w:highlight w:val="none"/>
          <w:shd w:val="clear" w:fill="FFFFFF"/>
          <w:lang w:eastAsia="zh-CN"/>
        </w:rPr>
        <w:t>加强</w:t>
      </w:r>
      <w:r>
        <w:rPr>
          <w:rFonts w:ascii="仿宋_GB2312" w:hAnsi="宋体" w:eastAsia="仿宋_GB2312" w:cs="仿宋_GB2312"/>
          <w:i w:val="0"/>
          <w:caps w:val="0"/>
          <w:color w:val="auto"/>
          <w:spacing w:val="0"/>
          <w:sz w:val="32"/>
          <w:szCs w:val="32"/>
          <w:highlight w:val="none"/>
          <w:shd w:val="clear" w:fill="FFFFFF"/>
        </w:rPr>
        <w:t>在品牌、管理、师资等方面的多层次和全方位合作</w:t>
      </w:r>
      <w:r>
        <w:rPr>
          <w:rFonts w:hint="eastAsia" w:ascii="仿宋_GB2312" w:hAnsi="宋体" w:eastAsia="仿宋_GB2312" w:cs="仿宋_GB2312"/>
          <w:i w:val="0"/>
          <w:caps w:val="0"/>
          <w:color w:val="auto"/>
          <w:spacing w:val="0"/>
          <w:sz w:val="32"/>
          <w:szCs w:val="32"/>
          <w:highlight w:val="none"/>
          <w:shd w:val="clear" w:fill="FFFFFF"/>
          <w:lang w:eastAsia="zh-CN"/>
        </w:rPr>
        <w:t>，</w:t>
      </w:r>
      <w:r>
        <w:rPr>
          <w:rFonts w:ascii="仿宋_GB2312" w:hAnsi="宋体" w:eastAsia="仿宋_GB2312" w:cs="仿宋_GB2312"/>
          <w:i w:val="0"/>
          <w:caps w:val="0"/>
          <w:color w:val="auto"/>
          <w:spacing w:val="0"/>
          <w:sz w:val="32"/>
          <w:szCs w:val="32"/>
          <w:highlight w:val="none"/>
          <w:shd w:val="clear" w:fill="FFFFFF"/>
        </w:rPr>
        <w:t>辐射带动基础教育创新发展，全面提高我市教育教学质量</w:t>
      </w:r>
      <w:r>
        <w:rPr>
          <w:rFonts w:hint="eastAsia" w:ascii="仿宋_GB2312" w:hAnsi="宋体" w:eastAsia="仿宋_GB2312" w:cs="仿宋_GB2312"/>
          <w:i w:val="0"/>
          <w:caps w:val="0"/>
          <w:color w:val="auto"/>
          <w:spacing w:val="0"/>
          <w:sz w:val="32"/>
          <w:szCs w:val="32"/>
          <w:highlight w:val="none"/>
          <w:shd w:val="clear" w:fill="FFFFFF"/>
          <w:lang w:eastAsia="zh-CN"/>
        </w:rPr>
        <w:t>。</w:t>
      </w:r>
    </w:p>
    <w:p w14:paraId="7BB8A6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b w:val="0"/>
          <w:bCs w:val="0"/>
          <w:color w:val="auto"/>
          <w:highlight w:val="none"/>
        </w:rPr>
      </w:pPr>
      <w:bookmarkStart w:id="679" w:name="_Toc10921"/>
      <w:bookmarkStart w:id="680" w:name="_Toc26728"/>
      <w:r>
        <w:rPr>
          <w:rFonts w:hint="eastAsia"/>
          <w:b w:val="0"/>
          <w:bCs w:val="0"/>
          <w:color w:val="auto"/>
          <w:highlight w:val="none"/>
        </w:rPr>
        <w:t>（三）推进普通高中优质特色发展</w:t>
      </w:r>
      <w:bookmarkEnd w:id="679"/>
      <w:bookmarkEnd w:id="680"/>
    </w:p>
    <w:p w14:paraId="755B03B6">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eastAsia="仿宋_GB2312"/>
          <w:color w:val="auto"/>
          <w:kern w:val="0"/>
          <w:highlight w:val="none"/>
        </w:rPr>
      </w:pPr>
      <w:r>
        <w:rPr>
          <w:rFonts w:hint="eastAsia" w:eastAsia="仿宋_GB2312"/>
          <w:color w:val="auto"/>
          <w:kern w:val="0"/>
          <w:highlight w:val="none"/>
        </w:rPr>
        <w:t>着眼缓解高中阶段学位不足问题，实施一批高中新建改扩建工程，实现高中阶段寄宿制全覆盖。推动农村高中全部进县城，并按省级示范性高中标准配备教学资源。</w:t>
      </w:r>
      <w:r>
        <w:rPr>
          <w:rFonts w:hint="eastAsia" w:eastAsia="仿宋_GB2312"/>
          <w:color w:val="auto"/>
          <w:kern w:val="0"/>
          <w:highlight w:val="none"/>
          <w:lang w:eastAsia="zh-CN"/>
        </w:rPr>
        <w:t>推动普通高中多样化发展，</w:t>
      </w:r>
      <w:r>
        <w:rPr>
          <w:rFonts w:hint="eastAsia" w:eastAsia="仿宋_GB2312"/>
          <w:color w:val="auto"/>
          <w:kern w:val="0"/>
          <w:highlight w:val="none"/>
        </w:rPr>
        <w:t>着力打造一批办学优质、特色鲜明的典型学校，以市一中为龙头，加快推进抚宁一中、昌黎一中、卢龙县中学、青龙一中四所县区高中学校的建设力度，将市一中建设成省内一流的高品质高中，积极扶持外语、艺术、体育等各类特色高中，将实验中学建设成高水平外国语特色高中，将市三中建设成高标准艺术高中。全力推进高中创新育人方式，深化课程教学改革和考试招生制度改革，优化育人环境，推进产教融合、科教结合、协同育人等一系列重要任务。加快发展非义务教育阶段特殊教育，推动由</w:t>
      </w:r>
      <w:r>
        <w:rPr>
          <w:rFonts w:hint="eastAsia" w:eastAsia="仿宋_GB2312"/>
          <w:color w:val="auto"/>
          <w:kern w:val="0"/>
          <w:highlight w:val="none"/>
          <w:lang w:eastAsia="zh-CN"/>
        </w:rPr>
        <w:t>“</w:t>
      </w:r>
      <w:r>
        <w:rPr>
          <w:rFonts w:hint="eastAsia" w:eastAsia="仿宋_GB2312"/>
          <w:color w:val="auto"/>
          <w:kern w:val="0"/>
          <w:highlight w:val="none"/>
        </w:rPr>
        <w:t>三类残障和四类康复</w:t>
      </w:r>
      <w:r>
        <w:rPr>
          <w:rFonts w:hint="eastAsia" w:eastAsia="仿宋_GB2312"/>
          <w:color w:val="auto"/>
          <w:kern w:val="0"/>
          <w:highlight w:val="none"/>
          <w:lang w:eastAsia="zh-CN"/>
        </w:rPr>
        <w:t>”</w:t>
      </w:r>
      <w:r>
        <w:rPr>
          <w:rFonts w:hint="eastAsia" w:eastAsia="仿宋_GB2312"/>
          <w:color w:val="auto"/>
          <w:kern w:val="0"/>
          <w:highlight w:val="none"/>
        </w:rPr>
        <w:t>向</w:t>
      </w:r>
      <w:r>
        <w:rPr>
          <w:rFonts w:hint="eastAsia" w:eastAsia="仿宋_GB2312"/>
          <w:color w:val="auto"/>
          <w:kern w:val="0"/>
          <w:highlight w:val="none"/>
          <w:lang w:eastAsia="zh-CN"/>
        </w:rPr>
        <w:t>“</w:t>
      </w:r>
      <w:r>
        <w:rPr>
          <w:rFonts w:hint="eastAsia" w:eastAsia="仿宋_GB2312"/>
          <w:color w:val="auto"/>
          <w:kern w:val="0"/>
          <w:highlight w:val="none"/>
        </w:rPr>
        <w:t>以培智康复为主，盲聋两类为辅</w:t>
      </w:r>
      <w:r>
        <w:rPr>
          <w:rFonts w:hint="eastAsia" w:eastAsia="仿宋_GB2312"/>
          <w:color w:val="auto"/>
          <w:kern w:val="0"/>
          <w:highlight w:val="none"/>
          <w:lang w:eastAsia="zh-CN"/>
        </w:rPr>
        <w:t>”</w:t>
      </w:r>
      <w:r>
        <w:rPr>
          <w:rFonts w:hint="eastAsia" w:eastAsia="仿宋_GB2312"/>
          <w:color w:val="auto"/>
          <w:kern w:val="0"/>
          <w:highlight w:val="none"/>
        </w:rPr>
        <w:t>的教育转型。</w:t>
      </w:r>
    </w:p>
    <w:p w14:paraId="785478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b w:val="0"/>
          <w:bCs w:val="0"/>
          <w:color w:val="auto"/>
          <w:highlight w:val="none"/>
        </w:rPr>
      </w:pPr>
      <w:bookmarkStart w:id="681" w:name="_Toc7160"/>
      <w:bookmarkStart w:id="682" w:name="_Toc15806"/>
      <w:r>
        <w:rPr>
          <w:rFonts w:hint="eastAsia"/>
          <w:b w:val="0"/>
          <w:bCs w:val="0"/>
          <w:color w:val="auto"/>
          <w:highlight w:val="none"/>
        </w:rPr>
        <w:t>（四）实现职业教育和高等教育高</w:t>
      </w:r>
      <w:r>
        <w:rPr>
          <w:rFonts w:hint="eastAsia"/>
          <w:b w:val="0"/>
          <w:bCs w:val="0"/>
          <w:color w:val="auto"/>
          <w:highlight w:val="none"/>
          <w:lang w:eastAsia="zh-CN"/>
        </w:rPr>
        <w:t>质量</w:t>
      </w:r>
      <w:r>
        <w:rPr>
          <w:rFonts w:hint="eastAsia"/>
          <w:b w:val="0"/>
          <w:bCs w:val="0"/>
          <w:color w:val="auto"/>
          <w:highlight w:val="none"/>
        </w:rPr>
        <w:t>发展</w:t>
      </w:r>
      <w:bookmarkEnd w:id="681"/>
      <w:bookmarkEnd w:id="682"/>
    </w:p>
    <w:p w14:paraId="2F07A8AD">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eastAsia="仿宋_GB2312"/>
          <w:color w:val="auto"/>
          <w:kern w:val="0"/>
          <w:highlight w:val="none"/>
        </w:rPr>
      </w:pPr>
      <w:r>
        <w:rPr>
          <w:rFonts w:hint="eastAsia" w:eastAsia="仿宋_GB2312"/>
          <w:color w:val="auto"/>
          <w:kern w:val="0"/>
          <w:highlight w:val="none"/>
        </w:rPr>
        <w:t>完善职业教育工作联席会议制度，科学规划职教本科、高职、中职和技工学校协调发展。推动燕山大学里仁学院和秦皇岛职业技术学院合并转设为市属公办本科层次职业学校，支持河北对外经贸职业学院建设国家级</w:t>
      </w:r>
      <w:r>
        <w:rPr>
          <w:rFonts w:hint="eastAsia" w:eastAsia="仿宋_GB2312"/>
          <w:color w:val="auto"/>
          <w:kern w:val="0"/>
          <w:highlight w:val="none"/>
          <w:lang w:eastAsia="zh-CN"/>
        </w:rPr>
        <w:t>“</w:t>
      </w:r>
      <w:r>
        <w:rPr>
          <w:rFonts w:hint="eastAsia" w:eastAsia="仿宋_GB2312"/>
          <w:color w:val="auto"/>
          <w:kern w:val="0"/>
          <w:highlight w:val="none"/>
        </w:rPr>
        <w:t>双高计划</w:t>
      </w:r>
      <w:r>
        <w:rPr>
          <w:rFonts w:hint="eastAsia" w:eastAsia="仿宋_GB2312"/>
          <w:color w:val="auto"/>
          <w:kern w:val="0"/>
          <w:highlight w:val="none"/>
          <w:lang w:eastAsia="zh-CN"/>
        </w:rPr>
        <w:t>”</w:t>
      </w:r>
      <w:r>
        <w:rPr>
          <w:rFonts w:hint="eastAsia" w:eastAsia="仿宋_GB2312"/>
          <w:color w:val="auto"/>
          <w:kern w:val="0"/>
          <w:highlight w:val="none"/>
        </w:rPr>
        <w:t>项目，实施中职学校提质培</w:t>
      </w:r>
      <w:r>
        <w:rPr>
          <w:rFonts w:hint="eastAsia" w:eastAsia="仿宋_GB2312"/>
          <w:color w:val="auto"/>
          <w:kern w:val="0"/>
          <w:highlight w:val="none"/>
          <w:lang w:eastAsia="zh-CN"/>
        </w:rPr>
        <w:t>优</w:t>
      </w:r>
      <w:r>
        <w:rPr>
          <w:rFonts w:hint="eastAsia" w:eastAsia="仿宋_GB2312"/>
          <w:color w:val="auto"/>
          <w:kern w:val="0"/>
          <w:highlight w:val="none"/>
        </w:rPr>
        <w:t>和标准化建设工程，持续推进中职、高职和职业本科院校分段培养工程，不断畅通中职学生升学渠道。探索产教融合、校企合作新模式，鼓励企业与职业院校共建生产性实训基地和产业人才培养培训基地。支持高校发展，推动燕山大学加快</w:t>
      </w:r>
      <w:r>
        <w:rPr>
          <w:rFonts w:hint="eastAsia" w:eastAsia="仿宋_GB2312"/>
          <w:color w:val="auto"/>
          <w:kern w:val="0"/>
          <w:highlight w:val="none"/>
          <w:lang w:eastAsia="zh-CN"/>
        </w:rPr>
        <w:t>“</w:t>
      </w:r>
      <w:r>
        <w:rPr>
          <w:rFonts w:hint="eastAsia" w:eastAsia="仿宋_GB2312"/>
          <w:color w:val="auto"/>
          <w:kern w:val="0"/>
          <w:highlight w:val="none"/>
        </w:rPr>
        <w:t>双一流</w:t>
      </w:r>
      <w:r>
        <w:rPr>
          <w:rFonts w:hint="eastAsia" w:eastAsia="仿宋_GB2312"/>
          <w:color w:val="auto"/>
          <w:kern w:val="0"/>
          <w:highlight w:val="none"/>
          <w:lang w:eastAsia="zh-CN"/>
        </w:rPr>
        <w:t>”</w:t>
      </w:r>
      <w:r>
        <w:rPr>
          <w:rFonts w:hint="eastAsia" w:eastAsia="仿宋_GB2312"/>
          <w:color w:val="auto"/>
          <w:kern w:val="0"/>
          <w:highlight w:val="none"/>
        </w:rPr>
        <w:t>建设，打造世界一流的高压科学中心；支持部省市共建东北大学（秦皇岛）悉尼智能科技学院建成知名国际学院；支持河北科技师范学院建成高水平应用型大学。支持燕山大学和东北大学（秦皇岛）国家重点实验室、国家工程技术研究中心等科研平台建设，为政府科学决策和行业发展提供智力支撑。</w:t>
      </w:r>
    </w:p>
    <w:p w14:paraId="6043819D">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3"/>
        <w:textAlignment w:val="auto"/>
        <w:outlineLvl w:val="2"/>
        <w:rPr>
          <w:rFonts w:eastAsia="楷体"/>
          <w:b w:val="0"/>
          <w:bCs w:val="0"/>
          <w:color w:val="auto"/>
          <w:highlight w:val="none"/>
        </w:rPr>
      </w:pPr>
      <w:bookmarkStart w:id="683" w:name="_Toc6878"/>
      <w:r>
        <w:rPr>
          <w:rFonts w:hint="eastAsia" w:eastAsia="楷体"/>
          <w:b w:val="0"/>
          <w:bCs w:val="0"/>
          <w:color w:val="auto"/>
          <w:highlight w:val="none"/>
        </w:rPr>
        <w:t>（五）加快信息化时代教育变革</w:t>
      </w:r>
      <w:bookmarkEnd w:id="683"/>
    </w:p>
    <w:p w14:paraId="122B7C39">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
          <w:color w:val="auto"/>
          <w:highlight w:val="none"/>
        </w:rPr>
      </w:pPr>
      <w:r>
        <w:rPr>
          <w:rFonts w:eastAsia="仿宋"/>
          <w:color w:val="auto"/>
          <w:highlight w:val="none"/>
        </w:rPr>
        <w:t xml:space="preserve">   </w:t>
      </w:r>
      <w:r>
        <w:rPr>
          <w:rFonts w:eastAsia="仿宋_GB2312"/>
          <w:color w:val="auto"/>
          <w:kern w:val="0"/>
          <w:highlight w:val="none"/>
        </w:rPr>
        <w:t xml:space="preserve"> </w:t>
      </w:r>
      <w:r>
        <w:rPr>
          <w:rFonts w:hint="eastAsia" w:eastAsia="仿宋_GB2312"/>
          <w:color w:val="auto"/>
          <w:kern w:val="0"/>
          <w:highlight w:val="none"/>
        </w:rPr>
        <w:t>优化信息化基础环境，建设智能化校园，统筹推进教学管理与服务一体化、智能化</w:t>
      </w:r>
      <w:r>
        <w:rPr>
          <w:rFonts w:hint="eastAsia" w:eastAsia="仿宋_GB2312"/>
          <w:color w:val="auto"/>
          <w:kern w:val="0"/>
          <w:highlight w:val="none"/>
          <w:lang w:eastAsia="zh-CN"/>
        </w:rPr>
        <w:t>“</w:t>
      </w:r>
      <w:r>
        <w:rPr>
          <w:rFonts w:hint="eastAsia" w:eastAsia="仿宋_GB2312"/>
          <w:color w:val="auto"/>
          <w:kern w:val="0"/>
          <w:highlight w:val="none"/>
        </w:rPr>
        <w:t>互联网</w:t>
      </w:r>
      <w:r>
        <w:rPr>
          <w:rFonts w:eastAsia="仿宋_GB2312"/>
          <w:color w:val="auto"/>
          <w:kern w:val="0"/>
          <w:highlight w:val="none"/>
        </w:rPr>
        <w:t>+</w:t>
      </w:r>
      <w:r>
        <w:rPr>
          <w:rFonts w:hint="eastAsia" w:eastAsia="仿宋_GB2312"/>
          <w:color w:val="auto"/>
          <w:kern w:val="0"/>
          <w:highlight w:val="none"/>
          <w:lang w:eastAsia="zh-CN"/>
        </w:rPr>
        <w:t>”</w:t>
      </w:r>
      <w:r>
        <w:rPr>
          <w:rFonts w:hint="eastAsia" w:eastAsia="仿宋_GB2312"/>
          <w:color w:val="auto"/>
          <w:kern w:val="0"/>
          <w:highlight w:val="none"/>
        </w:rPr>
        <w:t>教育大平台建设和应用。利用信息技术加速教育体系重构，推动人才培养模式变革，实现线上线下教学混合融通、规模化教育与个性培养有机结合。推进大数据背景下教育质量方式变革，加快形成现代化的教育管理与监测体系，推进管理精准化和决策科学化。</w:t>
      </w:r>
    </w:p>
    <w:p w14:paraId="5ADD01E9">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3"/>
        <w:textAlignment w:val="auto"/>
        <w:outlineLvl w:val="2"/>
        <w:rPr>
          <w:rFonts w:eastAsia="楷体"/>
          <w:b w:val="0"/>
          <w:bCs w:val="0"/>
          <w:color w:val="auto"/>
          <w:highlight w:val="none"/>
        </w:rPr>
      </w:pPr>
      <w:bookmarkStart w:id="684" w:name="_Toc15960"/>
      <w:bookmarkStart w:id="685" w:name="_Toc28550"/>
      <w:r>
        <w:rPr>
          <w:rFonts w:hint="eastAsia" w:eastAsia="楷体"/>
          <w:b w:val="0"/>
          <w:bCs w:val="0"/>
          <w:color w:val="auto"/>
          <w:highlight w:val="none"/>
        </w:rPr>
        <w:t>（六）构建终身学习体系</w:t>
      </w:r>
      <w:bookmarkEnd w:id="684"/>
      <w:bookmarkEnd w:id="685"/>
    </w:p>
    <w:p w14:paraId="1717AA33">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eastAsia="仿宋_GB2312"/>
          <w:color w:val="auto"/>
          <w:kern w:val="0"/>
          <w:highlight w:val="none"/>
        </w:rPr>
      </w:pPr>
      <w:r>
        <w:rPr>
          <w:rFonts w:hint="eastAsia" w:eastAsia="仿宋_GB2312"/>
          <w:color w:val="auto"/>
          <w:kern w:val="0"/>
          <w:highlight w:val="none"/>
        </w:rPr>
        <w:t>完善全民终身学习推进机制，构建方式更加灵活、资源更加丰富、学习更加便捷的终身学习体系。支持和规范发展民办教育，明确民办学校产权关系，完善法人登记制度，落实民办教育升级和退出机制，加强校外培训机构管理，拓宽出国留学、培训、实习渠道，开展多层面、全维度的国际教育交流合作活动。健全招生入学、弹性学习及继续教育制度，构建更加开放畅通的人才成长通道。推动各类非学历教育学习成果认定和转换，建立个人终身学习教育账户。发展老年教育，扩大社区教育资源供给，推动各类学习型组织建设，用好</w:t>
      </w:r>
      <w:r>
        <w:rPr>
          <w:rFonts w:hint="eastAsia" w:eastAsia="仿宋_GB2312"/>
          <w:color w:val="auto"/>
          <w:kern w:val="0"/>
          <w:highlight w:val="none"/>
          <w:lang w:eastAsia="zh-CN"/>
        </w:rPr>
        <w:t>“</w:t>
      </w:r>
      <w:r>
        <w:rPr>
          <w:rFonts w:hint="eastAsia" w:eastAsia="仿宋_GB2312"/>
          <w:color w:val="auto"/>
          <w:kern w:val="0"/>
          <w:highlight w:val="none"/>
        </w:rPr>
        <w:t>学习强国</w:t>
      </w:r>
      <w:r>
        <w:rPr>
          <w:rFonts w:hint="eastAsia" w:eastAsia="仿宋_GB2312"/>
          <w:color w:val="auto"/>
          <w:kern w:val="0"/>
          <w:highlight w:val="none"/>
          <w:lang w:eastAsia="zh-CN"/>
        </w:rPr>
        <w:t>”</w:t>
      </w:r>
      <w:r>
        <w:rPr>
          <w:rFonts w:hint="eastAsia" w:eastAsia="仿宋_GB2312"/>
          <w:color w:val="auto"/>
          <w:kern w:val="0"/>
          <w:highlight w:val="none"/>
        </w:rPr>
        <w:t>学习平台，建设人人皆学、处处可学、时时能学的学习型社会。</w:t>
      </w:r>
    </w:p>
    <w:p w14:paraId="11A84572">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1"/>
        <w:rPr>
          <w:rFonts w:eastAsia="黑体"/>
          <w:color w:val="auto"/>
          <w:highlight w:val="none"/>
        </w:rPr>
      </w:pPr>
      <w:bookmarkStart w:id="686" w:name="_Toc14528"/>
      <w:bookmarkStart w:id="687" w:name="_Toc9526"/>
      <w:bookmarkStart w:id="688" w:name="_Toc31023"/>
      <w:bookmarkStart w:id="689" w:name="_Toc32227"/>
      <w:bookmarkStart w:id="690" w:name="_Toc12283"/>
      <w:bookmarkStart w:id="691" w:name="_Toc27797"/>
      <w:bookmarkStart w:id="692" w:name="_Toc30663"/>
      <w:r>
        <w:rPr>
          <w:rFonts w:hint="eastAsia" w:eastAsia="黑体"/>
          <w:color w:val="auto"/>
          <w:highlight w:val="none"/>
        </w:rPr>
        <w:t>四、</w:t>
      </w:r>
      <w:bookmarkEnd w:id="686"/>
      <w:bookmarkEnd w:id="687"/>
      <w:bookmarkEnd w:id="688"/>
      <w:bookmarkEnd w:id="689"/>
      <w:bookmarkEnd w:id="690"/>
      <w:r>
        <w:rPr>
          <w:rFonts w:hint="eastAsia" w:eastAsia="黑体"/>
          <w:color w:val="auto"/>
          <w:highlight w:val="none"/>
        </w:rPr>
        <w:t>深入推进</w:t>
      </w:r>
      <w:r>
        <w:rPr>
          <w:rFonts w:hint="eastAsia" w:eastAsia="黑体"/>
          <w:color w:val="auto"/>
          <w:highlight w:val="none"/>
          <w:lang w:eastAsia="zh-CN"/>
        </w:rPr>
        <w:t>“</w:t>
      </w:r>
      <w:r>
        <w:rPr>
          <w:rFonts w:hint="eastAsia" w:eastAsia="黑体"/>
          <w:color w:val="auto"/>
          <w:highlight w:val="none"/>
        </w:rPr>
        <w:t>健康秦皇岛</w:t>
      </w:r>
      <w:r>
        <w:rPr>
          <w:rFonts w:hint="eastAsia" w:eastAsia="黑体"/>
          <w:color w:val="auto"/>
          <w:highlight w:val="none"/>
          <w:lang w:eastAsia="zh-CN"/>
        </w:rPr>
        <w:t>”</w:t>
      </w:r>
      <w:r>
        <w:rPr>
          <w:rFonts w:hint="eastAsia" w:eastAsia="黑体"/>
          <w:color w:val="auto"/>
          <w:highlight w:val="none"/>
        </w:rPr>
        <w:t>建设</w:t>
      </w:r>
      <w:bookmarkEnd w:id="691"/>
      <w:bookmarkEnd w:id="692"/>
    </w:p>
    <w:p w14:paraId="0F05B551">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eastAsia="仿宋_GB2312"/>
          <w:color w:val="auto"/>
          <w:kern w:val="0"/>
          <w:highlight w:val="none"/>
        </w:rPr>
      </w:pPr>
      <w:r>
        <w:rPr>
          <w:rFonts w:hint="eastAsia" w:eastAsia="仿宋_GB2312"/>
          <w:color w:val="auto"/>
          <w:kern w:val="0"/>
          <w:highlight w:val="none"/>
        </w:rPr>
        <w:t>深入实施健康中国战略，把人民健康放在优先发展战略地位，坚持关注生命全周期、健康全过程，健全基本医疗卫生制度，完善国民健康政策，提高卫生健康供给质量和服务水平，保障公共卫生安全，更高水平推进全民健身，谱写</w:t>
      </w:r>
      <w:r>
        <w:rPr>
          <w:rFonts w:hint="eastAsia" w:eastAsia="仿宋_GB2312"/>
          <w:color w:val="auto"/>
          <w:kern w:val="0"/>
          <w:highlight w:val="none"/>
          <w:lang w:eastAsia="zh-CN"/>
        </w:rPr>
        <w:t>“</w:t>
      </w:r>
      <w:r>
        <w:rPr>
          <w:rFonts w:hint="eastAsia" w:eastAsia="仿宋_GB2312"/>
          <w:color w:val="auto"/>
          <w:kern w:val="0"/>
          <w:highlight w:val="none"/>
        </w:rPr>
        <w:t>健康秦皇岛</w:t>
      </w:r>
      <w:r>
        <w:rPr>
          <w:rFonts w:hint="eastAsia" w:eastAsia="仿宋_GB2312"/>
          <w:color w:val="auto"/>
          <w:kern w:val="0"/>
          <w:highlight w:val="none"/>
          <w:lang w:eastAsia="zh-CN"/>
        </w:rPr>
        <w:t>”</w:t>
      </w:r>
      <w:r>
        <w:rPr>
          <w:rFonts w:hint="eastAsia" w:eastAsia="仿宋_GB2312"/>
          <w:color w:val="auto"/>
          <w:kern w:val="0"/>
          <w:highlight w:val="none"/>
        </w:rPr>
        <w:t>建设新篇章。</w:t>
      </w:r>
    </w:p>
    <w:p w14:paraId="008367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b w:val="0"/>
          <w:bCs w:val="0"/>
          <w:color w:val="auto"/>
          <w:highlight w:val="none"/>
        </w:rPr>
      </w:pPr>
      <w:bookmarkStart w:id="693" w:name="_Toc14552"/>
      <w:bookmarkStart w:id="694" w:name="_Toc18457"/>
      <w:bookmarkStart w:id="695" w:name="_Toc10795"/>
      <w:bookmarkStart w:id="696" w:name="_Toc27729"/>
      <w:r>
        <w:rPr>
          <w:rFonts w:hint="eastAsia"/>
          <w:b w:val="0"/>
          <w:bCs w:val="0"/>
          <w:color w:val="auto"/>
          <w:highlight w:val="none"/>
        </w:rPr>
        <w:t>（一）</w:t>
      </w:r>
      <w:bookmarkEnd w:id="693"/>
      <w:bookmarkEnd w:id="694"/>
      <w:r>
        <w:rPr>
          <w:rFonts w:hint="eastAsia"/>
          <w:b w:val="0"/>
          <w:bCs w:val="0"/>
          <w:color w:val="auto"/>
          <w:highlight w:val="none"/>
        </w:rPr>
        <w:t>健全基本医疗卫生体系</w:t>
      </w:r>
      <w:bookmarkEnd w:id="695"/>
      <w:bookmarkEnd w:id="696"/>
    </w:p>
    <w:p w14:paraId="500097AB">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eastAsia="仿宋_GB2312"/>
          <w:color w:val="auto"/>
          <w:kern w:val="0"/>
          <w:highlight w:val="none"/>
        </w:rPr>
      </w:pPr>
      <w:r>
        <w:rPr>
          <w:rFonts w:hint="eastAsia" w:eastAsia="仿宋_GB2312"/>
          <w:color w:val="auto"/>
          <w:kern w:val="0"/>
          <w:highlight w:val="none"/>
        </w:rPr>
        <w:t>坚持基本医疗卫生事业公益属性，强化政府对卫生健康的领导责任、投入保障责任、管理责任、监督责任。深化医药卫生体制改革，巩固</w:t>
      </w:r>
      <w:r>
        <w:rPr>
          <w:rFonts w:hint="eastAsia" w:eastAsia="仿宋_GB2312"/>
          <w:color w:val="auto"/>
          <w:kern w:val="0"/>
          <w:highlight w:val="none"/>
          <w:lang w:eastAsia="zh-CN"/>
        </w:rPr>
        <w:t>“</w:t>
      </w:r>
      <w:r>
        <w:rPr>
          <w:rFonts w:hint="eastAsia" w:eastAsia="仿宋_GB2312"/>
          <w:color w:val="auto"/>
          <w:kern w:val="0"/>
          <w:highlight w:val="none"/>
        </w:rPr>
        <w:t>四医联动</w:t>
      </w:r>
      <w:r>
        <w:rPr>
          <w:rFonts w:hint="eastAsia" w:eastAsia="仿宋_GB2312"/>
          <w:color w:val="auto"/>
          <w:kern w:val="0"/>
          <w:highlight w:val="none"/>
          <w:lang w:eastAsia="zh-CN"/>
        </w:rPr>
        <w:t>”</w:t>
      </w:r>
      <w:r>
        <w:rPr>
          <w:rFonts w:hint="eastAsia" w:eastAsia="仿宋_GB2312"/>
          <w:color w:val="auto"/>
          <w:kern w:val="0"/>
          <w:highlight w:val="none"/>
        </w:rPr>
        <w:t>改革成果，健全分级诊疗、现代医院管理、全民医保、药品供应保障、综合监管等制度。</w:t>
      </w:r>
      <w:r>
        <w:rPr>
          <w:rFonts w:hint="eastAsia" w:eastAsia="仿宋_GB2312"/>
          <w:color w:val="auto"/>
          <w:kern w:val="0"/>
          <w:highlight w:val="none"/>
          <w:lang w:eastAsia="zh-CN"/>
        </w:rPr>
        <w:t>整合现有医疗资源，</w:t>
      </w:r>
      <w:r>
        <w:rPr>
          <w:rFonts w:hint="eastAsia" w:eastAsia="仿宋_GB2312"/>
          <w:color w:val="auto"/>
          <w:kern w:val="0"/>
          <w:highlight w:val="none"/>
        </w:rPr>
        <w:t>加快市、县区医疗资源均衡布局和梯次配置，合理提高公立医疗卫生机构建设标准，适度超前，提升设施设备现代化水平，到</w:t>
      </w:r>
      <w:r>
        <w:rPr>
          <w:rFonts w:eastAsia="仿宋_GB2312"/>
          <w:color w:val="auto"/>
          <w:kern w:val="0"/>
          <w:highlight w:val="none"/>
        </w:rPr>
        <w:t>2025</w:t>
      </w:r>
      <w:r>
        <w:rPr>
          <w:rFonts w:hint="eastAsia" w:eastAsia="仿宋_GB2312"/>
          <w:color w:val="auto"/>
          <w:kern w:val="0"/>
          <w:highlight w:val="none"/>
        </w:rPr>
        <w:t>年，每个县设有一所三级水平医院。强化专科（中医）医院能力建设，着力提升慢性病、职业病、传染病、地方病等特殊病防治能力，加快完善妇产、儿童、精神等专科服务体系建设，市第三医院、市第四医院、市精神卫生中心、市妇幼保健院分别设置为传染病、肿瘤、精神卫生、妇产儿童等专科医院，在</w:t>
      </w:r>
      <w:r>
        <w:rPr>
          <w:rFonts w:hint="eastAsia" w:eastAsia="仿宋_GB2312"/>
          <w:color w:val="auto"/>
          <w:kern w:val="0"/>
          <w:highlight w:val="none"/>
          <w:lang w:eastAsia="zh-CN"/>
        </w:rPr>
        <w:t>“</w:t>
      </w:r>
      <w:r>
        <w:rPr>
          <w:rFonts w:hint="eastAsia" w:eastAsia="仿宋_GB2312"/>
          <w:color w:val="auto"/>
          <w:kern w:val="0"/>
          <w:highlight w:val="none"/>
        </w:rPr>
        <w:t>十四五</w:t>
      </w:r>
      <w:r>
        <w:rPr>
          <w:rFonts w:hint="eastAsia" w:eastAsia="仿宋_GB2312"/>
          <w:color w:val="auto"/>
          <w:kern w:val="0"/>
          <w:highlight w:val="none"/>
          <w:lang w:eastAsia="zh-CN"/>
        </w:rPr>
        <w:t>”</w:t>
      </w:r>
      <w:r>
        <w:rPr>
          <w:rFonts w:hint="eastAsia" w:eastAsia="仿宋_GB2312"/>
          <w:color w:val="auto"/>
          <w:kern w:val="0"/>
          <w:highlight w:val="none"/>
        </w:rPr>
        <w:t>期间全部达到三级甲等专科（中医）医院水平。全面推进医联体建设，建立优质高效的整合型医疗卫生服务体系，健全鼓励优质医疗资源下沉机制，构建基层首诊、双向转诊、急慢分治、上下联动的分级诊疗模式，推动形成科学合理就医秩序。落实国家基本药物制度，推进药品和高值医用耗材集中采购使用改革，解决好低价药、</w:t>
      </w:r>
      <w:r>
        <w:rPr>
          <w:rFonts w:hint="eastAsia" w:eastAsia="仿宋_GB2312"/>
          <w:color w:val="auto"/>
          <w:kern w:val="0"/>
          <w:highlight w:val="none"/>
          <w:lang w:eastAsia="zh-CN"/>
        </w:rPr>
        <w:t>“</w:t>
      </w:r>
      <w:r>
        <w:rPr>
          <w:rFonts w:hint="eastAsia" w:eastAsia="仿宋_GB2312"/>
          <w:color w:val="auto"/>
          <w:kern w:val="0"/>
          <w:highlight w:val="none"/>
        </w:rPr>
        <w:t>救命药</w:t>
      </w:r>
      <w:r>
        <w:rPr>
          <w:rFonts w:hint="eastAsia" w:eastAsia="仿宋_GB2312"/>
          <w:color w:val="auto"/>
          <w:kern w:val="0"/>
          <w:highlight w:val="none"/>
          <w:lang w:eastAsia="zh-CN"/>
        </w:rPr>
        <w:t>”“</w:t>
      </w:r>
      <w:r>
        <w:rPr>
          <w:rFonts w:hint="eastAsia" w:eastAsia="仿宋_GB2312"/>
          <w:color w:val="auto"/>
          <w:kern w:val="0"/>
          <w:highlight w:val="none"/>
        </w:rPr>
        <w:t>孤儿药</w:t>
      </w:r>
      <w:r>
        <w:rPr>
          <w:rFonts w:hint="eastAsia" w:eastAsia="仿宋_GB2312"/>
          <w:color w:val="auto"/>
          <w:kern w:val="0"/>
          <w:highlight w:val="none"/>
          <w:lang w:eastAsia="zh-CN"/>
        </w:rPr>
        <w:t>”</w:t>
      </w:r>
      <w:r>
        <w:rPr>
          <w:rFonts w:hint="eastAsia" w:eastAsia="仿宋_GB2312"/>
          <w:color w:val="auto"/>
          <w:kern w:val="0"/>
          <w:highlight w:val="none"/>
        </w:rPr>
        <w:t>以及儿童用药难题。促进</w:t>
      </w:r>
      <w:r>
        <w:rPr>
          <w:rFonts w:hint="eastAsia" w:eastAsia="仿宋_GB2312"/>
          <w:color w:val="auto"/>
          <w:kern w:val="0"/>
          <w:highlight w:val="none"/>
          <w:lang w:eastAsia="zh-CN"/>
        </w:rPr>
        <w:t>“</w:t>
      </w:r>
      <w:r>
        <w:rPr>
          <w:rFonts w:hint="eastAsia" w:eastAsia="仿宋_GB2312"/>
          <w:color w:val="auto"/>
          <w:kern w:val="0"/>
          <w:highlight w:val="none"/>
        </w:rPr>
        <w:t>互联网</w:t>
      </w:r>
      <w:r>
        <w:rPr>
          <w:rFonts w:eastAsia="仿宋_GB2312"/>
          <w:color w:val="auto"/>
          <w:kern w:val="0"/>
          <w:highlight w:val="none"/>
        </w:rPr>
        <w:t>+</w:t>
      </w:r>
      <w:r>
        <w:rPr>
          <w:rFonts w:hint="eastAsia" w:eastAsia="仿宋_GB2312"/>
          <w:color w:val="auto"/>
          <w:kern w:val="0"/>
          <w:highlight w:val="none"/>
        </w:rPr>
        <w:t>医疗健康</w:t>
      </w:r>
      <w:r>
        <w:rPr>
          <w:rFonts w:hint="eastAsia" w:eastAsia="仿宋_GB2312"/>
          <w:color w:val="auto"/>
          <w:kern w:val="0"/>
          <w:highlight w:val="none"/>
          <w:lang w:eastAsia="zh-CN"/>
        </w:rPr>
        <w:t>”</w:t>
      </w:r>
      <w:r>
        <w:rPr>
          <w:rFonts w:hint="eastAsia" w:eastAsia="仿宋_GB2312"/>
          <w:color w:val="auto"/>
          <w:kern w:val="0"/>
          <w:highlight w:val="none"/>
        </w:rPr>
        <w:t>发展，鼓励实体医疗机构应用互联网等信息技术延伸服务链条，为常见病、慢性病患者提供线上复诊、用药指导、随访和药品配送等医疗服务。推进</w:t>
      </w:r>
      <w:r>
        <w:rPr>
          <w:rFonts w:eastAsia="仿宋_GB2312"/>
          <w:color w:val="auto"/>
          <w:kern w:val="0"/>
          <w:highlight w:val="none"/>
        </w:rPr>
        <w:t>5G</w:t>
      </w:r>
      <w:r>
        <w:rPr>
          <w:rFonts w:hint="eastAsia" w:eastAsia="仿宋_GB2312"/>
          <w:color w:val="auto"/>
          <w:kern w:val="0"/>
          <w:highlight w:val="none"/>
        </w:rPr>
        <w:t>技术在互联网医院、医学影像、紧急医学救援等领域应用。支持社会力量在医疗资源薄弱区域和康复、护理等短缺专科领域举办非营利性医疗机构，满足群众多层次医疗服务需求。大力发展中医药事业，加强中医药文化建设和科普宣传，推动中医药传承创新发展，强化中医药人才引进和培养，加强重要全链条质量监管，支持市中医药研究院和市中</w:t>
      </w:r>
      <w:r>
        <w:rPr>
          <w:rFonts w:hint="eastAsia" w:eastAsia="仿宋_GB2312"/>
          <w:color w:val="auto"/>
          <w:kern w:val="0"/>
          <w:highlight w:val="none"/>
          <w:lang w:eastAsia="zh-CN"/>
        </w:rPr>
        <w:t>医</w:t>
      </w:r>
      <w:r>
        <w:rPr>
          <w:rFonts w:hint="eastAsia" w:eastAsia="仿宋_GB2312"/>
          <w:color w:val="auto"/>
          <w:kern w:val="0"/>
          <w:highlight w:val="none"/>
        </w:rPr>
        <w:t>医院中医康养国际合作基地、国家中医药服务出口基地建设。推进县级中医院能力提升项目建设，增强中医药服务能力。</w:t>
      </w:r>
    </w:p>
    <w:p w14:paraId="53EDE0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b w:val="0"/>
          <w:bCs w:val="0"/>
          <w:color w:val="auto"/>
          <w:highlight w:val="none"/>
        </w:rPr>
      </w:pPr>
      <w:bookmarkStart w:id="697" w:name="_Toc11431"/>
      <w:bookmarkStart w:id="698" w:name="_Toc4217"/>
      <w:bookmarkStart w:id="699" w:name="_Toc1465"/>
      <w:bookmarkStart w:id="700" w:name="_Toc16485"/>
      <w:r>
        <w:rPr>
          <w:rFonts w:hint="eastAsia"/>
          <w:b w:val="0"/>
          <w:bCs w:val="0"/>
          <w:color w:val="auto"/>
          <w:highlight w:val="none"/>
        </w:rPr>
        <w:t>（二）</w:t>
      </w:r>
      <w:bookmarkEnd w:id="697"/>
      <w:r>
        <w:rPr>
          <w:rFonts w:hint="eastAsia"/>
          <w:b w:val="0"/>
          <w:bCs w:val="0"/>
          <w:color w:val="auto"/>
          <w:highlight w:val="none"/>
        </w:rPr>
        <w:t>完善公共卫生服务体系</w:t>
      </w:r>
      <w:bookmarkEnd w:id="698"/>
      <w:bookmarkEnd w:id="699"/>
      <w:bookmarkEnd w:id="700"/>
    </w:p>
    <w:p w14:paraId="5A36BC91">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eastAsia="仿宋_GB2312"/>
          <w:color w:val="auto"/>
          <w:kern w:val="0"/>
          <w:highlight w:val="none"/>
        </w:rPr>
      </w:pPr>
      <w:r>
        <w:rPr>
          <w:rFonts w:hint="eastAsia" w:eastAsia="仿宋_GB2312"/>
          <w:color w:val="auto"/>
          <w:kern w:val="0"/>
          <w:highlight w:val="none"/>
        </w:rPr>
        <w:t>完善医防协同机制，健全公共卫生防控体系、救治体系、应急管理体系、物资保障体系、组织指挥体系，提高突发公共卫生事件监测预警和应急处置能力。全面提升疾病预防和卫生应急能力，健全完善以市疾控中心为核心，县区疾控为基础，二级以上综合医院</w:t>
      </w:r>
      <w:r>
        <w:rPr>
          <w:rFonts w:hint="eastAsia" w:eastAsia="仿宋_GB2312"/>
          <w:color w:val="auto"/>
          <w:kern w:val="0"/>
          <w:highlight w:val="none"/>
          <w:lang w:eastAsia="zh-CN"/>
        </w:rPr>
        <w:t>检测</w:t>
      </w:r>
      <w:r>
        <w:rPr>
          <w:rFonts w:hint="eastAsia" w:eastAsia="仿宋_GB2312"/>
          <w:color w:val="auto"/>
          <w:kern w:val="0"/>
          <w:highlight w:val="none"/>
        </w:rPr>
        <w:t>实验室为补充的疾病预防与控制网络，加强常见传染病病原体、健康危害因素检验检测监测能力建设，建设</w:t>
      </w:r>
      <w:r>
        <w:rPr>
          <w:rFonts w:eastAsia="仿宋_GB2312"/>
          <w:color w:val="auto"/>
          <w:kern w:val="0"/>
          <w:highlight w:val="none"/>
        </w:rPr>
        <w:t>5</w:t>
      </w:r>
      <w:r>
        <w:rPr>
          <w:rFonts w:hint="eastAsia" w:eastAsia="仿宋_GB2312"/>
          <w:color w:val="auto"/>
          <w:kern w:val="0"/>
          <w:highlight w:val="none"/>
        </w:rPr>
        <w:t>个高标准化实验室。完善县级卫生急救网络体系建设，改善乡村医疗卫生机构条件，实现乡镇卫生院和村卫生室标准化建设全覆盖。落实家庭医生签约、履约制度。强化全科医生队伍建设，提升基层卫生健康服务能力。持续推进妇幼机构能力建设，提高妇女儿童健康水平。增进生殖健康，强化慢性病及结核病、艾滋病、职业病等疾病防治，加强精神卫生疾病诊治能力建设。强化血液供应保障，加强市中心血站建设，建立稀有血型、特异抗体等</w:t>
      </w:r>
      <w:r>
        <w:rPr>
          <w:rFonts w:hint="eastAsia" w:eastAsia="仿宋_GB2312"/>
          <w:color w:val="auto"/>
          <w:kern w:val="0"/>
          <w:highlight w:val="none"/>
          <w:lang w:eastAsia="zh-CN"/>
        </w:rPr>
        <w:t>“</w:t>
      </w:r>
      <w:r>
        <w:rPr>
          <w:rFonts w:hint="eastAsia" w:eastAsia="仿宋_GB2312"/>
          <w:color w:val="auto"/>
          <w:kern w:val="0"/>
          <w:highlight w:val="none"/>
        </w:rPr>
        <w:t>特种供血者</w:t>
      </w:r>
      <w:r>
        <w:rPr>
          <w:rFonts w:hint="eastAsia" w:eastAsia="仿宋_GB2312"/>
          <w:color w:val="auto"/>
          <w:kern w:val="0"/>
          <w:highlight w:val="none"/>
          <w:lang w:eastAsia="zh-CN"/>
        </w:rPr>
        <w:t>”</w:t>
      </w:r>
      <w:r>
        <w:rPr>
          <w:rFonts w:hint="eastAsia" w:eastAsia="仿宋_GB2312"/>
          <w:color w:val="auto"/>
          <w:kern w:val="0"/>
          <w:highlight w:val="none"/>
        </w:rPr>
        <w:t>档案，实现献供一体化、信息化管理。</w:t>
      </w:r>
    </w:p>
    <w:p w14:paraId="346253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b w:val="0"/>
          <w:bCs w:val="0"/>
          <w:color w:val="auto"/>
          <w:highlight w:val="none"/>
        </w:rPr>
      </w:pPr>
      <w:bookmarkStart w:id="701" w:name="_Toc25657"/>
      <w:bookmarkStart w:id="702" w:name="_Toc24143"/>
      <w:bookmarkStart w:id="703" w:name="_Toc12761"/>
      <w:r>
        <w:rPr>
          <w:rFonts w:hint="eastAsia"/>
          <w:b w:val="0"/>
          <w:bCs w:val="0"/>
          <w:color w:val="auto"/>
          <w:highlight w:val="none"/>
        </w:rPr>
        <w:t>（三）</w:t>
      </w:r>
      <w:bookmarkEnd w:id="701"/>
      <w:bookmarkStart w:id="704" w:name="_Toc4099"/>
      <w:r>
        <w:rPr>
          <w:rFonts w:hint="eastAsia"/>
          <w:b w:val="0"/>
          <w:bCs w:val="0"/>
          <w:color w:val="auto"/>
          <w:highlight w:val="none"/>
        </w:rPr>
        <w:t>提高全民健康水平</w:t>
      </w:r>
      <w:bookmarkEnd w:id="702"/>
      <w:bookmarkEnd w:id="703"/>
      <w:bookmarkEnd w:id="704"/>
    </w:p>
    <w:p w14:paraId="33469289">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eastAsia="仿宋_GB2312"/>
          <w:color w:val="auto"/>
          <w:kern w:val="0"/>
          <w:highlight w:val="none"/>
          <w:lang w:eastAsia="zh-CN"/>
        </w:rPr>
      </w:pPr>
      <w:r>
        <w:rPr>
          <w:rFonts w:hint="eastAsia" w:eastAsia="仿宋_GB2312"/>
          <w:color w:val="auto"/>
          <w:kern w:val="0"/>
          <w:highlight w:val="none"/>
        </w:rPr>
        <w:t>落实《健康河北行动（</w:t>
      </w:r>
      <w:r>
        <w:rPr>
          <w:rFonts w:eastAsia="仿宋_GB2312"/>
          <w:color w:val="auto"/>
          <w:kern w:val="0"/>
          <w:highlight w:val="none"/>
        </w:rPr>
        <w:t>2019</w:t>
      </w:r>
      <w:r>
        <w:rPr>
          <w:rFonts w:hint="eastAsia" w:eastAsia="仿宋_GB2312"/>
          <w:color w:val="auto"/>
          <w:kern w:val="0"/>
          <w:highlight w:val="none"/>
          <w:lang w:eastAsia="zh-CN"/>
        </w:rPr>
        <w:t>—</w:t>
      </w:r>
      <w:r>
        <w:rPr>
          <w:rFonts w:eastAsia="仿宋_GB2312"/>
          <w:color w:val="auto"/>
          <w:kern w:val="0"/>
          <w:highlight w:val="none"/>
        </w:rPr>
        <w:t>2030</w:t>
      </w:r>
      <w:r>
        <w:rPr>
          <w:rFonts w:hint="eastAsia" w:eastAsia="仿宋_GB2312"/>
          <w:color w:val="auto"/>
          <w:kern w:val="0"/>
          <w:highlight w:val="none"/>
        </w:rPr>
        <w:t>年）》，坚持全民参与，推进社会共建共享，推动从以治病为中心转变为以人民健康为中心。突出预防为主、防治结合，针对主要健康影响因素、重点人群和重大疾病，实施健康知识普及、心理健康</w:t>
      </w:r>
      <w:r>
        <w:rPr>
          <w:rFonts w:hint="eastAsia" w:eastAsia="仿宋_GB2312"/>
          <w:color w:val="auto"/>
          <w:kern w:val="0"/>
          <w:highlight w:val="none"/>
          <w:lang w:eastAsia="zh-CN"/>
        </w:rPr>
        <w:t>促进、</w:t>
      </w:r>
      <w:r>
        <w:rPr>
          <w:rFonts w:hint="eastAsia" w:eastAsia="仿宋_GB2312"/>
          <w:color w:val="auto"/>
          <w:kern w:val="0"/>
          <w:highlight w:val="none"/>
        </w:rPr>
        <w:t>妇幼健康促进、心脑血管疾病防治等</w:t>
      </w:r>
      <w:r>
        <w:rPr>
          <w:rFonts w:eastAsia="仿宋_GB2312"/>
          <w:color w:val="auto"/>
          <w:kern w:val="0"/>
          <w:highlight w:val="none"/>
        </w:rPr>
        <w:t>15</w:t>
      </w:r>
      <w:r>
        <w:rPr>
          <w:rFonts w:hint="eastAsia" w:eastAsia="仿宋_GB2312"/>
          <w:color w:val="auto"/>
          <w:kern w:val="0"/>
          <w:highlight w:val="none"/>
        </w:rPr>
        <w:t>个专项行动，努力全方位、全周期维护人民健康。落实国家生育政策，增强生育政策包容性，优生优育，提高人口素质。完善婴幼儿照护服务政策，强化出生缺陷综合防治，推进母婴设施建设，加强生育全程基本医疗保障服务。加强食品安全风险监测能力建设，做好重点专项实验室和专业技术人员队伍建设，全面提升食品安全风险监测、评估能力。加强卫生健康监督执法体系建设，推进监督机构规范化标准化建设，提升卫生监督执法能力和水平。全面推进全民健身公共服务体系建设。落实场地供给，布局建设</w:t>
      </w:r>
      <w:r>
        <w:rPr>
          <w:rFonts w:hint="eastAsia" w:eastAsia="仿宋_GB2312"/>
          <w:color w:val="auto"/>
          <w:kern w:val="0"/>
          <w:highlight w:val="none"/>
          <w:lang w:eastAsia="zh-CN"/>
        </w:rPr>
        <w:t>“</w:t>
      </w:r>
      <w:r>
        <w:rPr>
          <w:rFonts w:hint="eastAsia" w:eastAsia="仿宋_GB2312"/>
          <w:color w:val="auto"/>
          <w:kern w:val="0"/>
          <w:highlight w:val="none"/>
        </w:rPr>
        <w:t>举步可就</w:t>
      </w:r>
      <w:r>
        <w:rPr>
          <w:rFonts w:hint="eastAsia" w:eastAsia="仿宋_GB2312"/>
          <w:color w:val="auto"/>
          <w:kern w:val="0"/>
          <w:highlight w:val="none"/>
          <w:lang w:eastAsia="zh-CN"/>
        </w:rPr>
        <w:t>”</w:t>
      </w:r>
      <w:r>
        <w:rPr>
          <w:rFonts w:hint="eastAsia" w:eastAsia="仿宋_GB2312"/>
          <w:color w:val="auto"/>
          <w:kern w:val="0"/>
          <w:highlight w:val="none"/>
        </w:rPr>
        <w:t>的公共体育服务设施，举办丰富多彩的全民健身活动，大力发展健身跑、健步走、自行车等群众喜闻乐见项目，扶持推广篮球、排球、乒羽网等传统体育项目和地秧歌、舞狮、猴打棒、陀螺、海钓等地方特色体育项目，创建全国全民运动健身模范市。</w:t>
      </w:r>
    </w:p>
    <w:p w14:paraId="5358ED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b w:val="0"/>
          <w:bCs w:val="0"/>
          <w:color w:val="auto"/>
          <w:highlight w:val="none"/>
        </w:rPr>
      </w:pPr>
      <w:bookmarkStart w:id="705" w:name="_Toc31840"/>
      <w:bookmarkStart w:id="706" w:name="_Toc2169"/>
      <w:r>
        <w:rPr>
          <w:rFonts w:hint="eastAsia"/>
          <w:b w:val="0"/>
          <w:bCs w:val="0"/>
          <w:color w:val="auto"/>
          <w:highlight w:val="none"/>
        </w:rPr>
        <w:t>（四）健全完善养老服务体系</w:t>
      </w:r>
      <w:bookmarkEnd w:id="705"/>
      <w:bookmarkEnd w:id="706"/>
    </w:p>
    <w:p w14:paraId="2A4D1FC1">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eastAsia="仿宋"/>
          <w:color w:val="auto"/>
          <w:highlight w:val="none"/>
        </w:rPr>
      </w:pPr>
      <w:r>
        <w:rPr>
          <w:rFonts w:hint="eastAsia" w:eastAsia="仿宋_GB2312"/>
          <w:color w:val="auto"/>
          <w:kern w:val="0"/>
          <w:highlight w:val="none"/>
        </w:rPr>
        <w:t>继续深化公办养老机构改革，办好公办保障性养老机构。支持社会力量举办养老机构，补齐和强化非基本养老服务短板和弱项。推进养老服务基础设施建设，实施特困人员供养服务设施（敬老院）改造提升工程，民办养老机构消防安全达标工程、老年人居家适老化改造工程、专业护理养老机构建设工程、荣誉军人休养院建设。促进养老服务高质量发展，提升医养结合服务能力，促进医疗卫生资源进入养老机构、社区和居民家庭，推动居家、社区和机构养老融合发展，支持志愿养老服务，</w:t>
      </w:r>
      <w:r>
        <w:rPr>
          <w:rFonts w:hint="eastAsia" w:eastAsia="仿宋_GB2312"/>
          <w:color w:val="auto"/>
          <w:kern w:val="0"/>
          <w:highlight w:val="none"/>
          <w:lang w:eastAsia="zh-CN"/>
        </w:rPr>
        <w:t>探索</w:t>
      </w:r>
      <w:r>
        <w:rPr>
          <w:rFonts w:hint="eastAsia" w:eastAsia="仿宋_GB2312"/>
          <w:color w:val="auto"/>
          <w:kern w:val="0"/>
          <w:highlight w:val="none"/>
        </w:rPr>
        <w:t>互助养老服务，加快建立志愿服务记录制度，积极探索</w:t>
      </w:r>
      <w:r>
        <w:rPr>
          <w:rFonts w:hint="eastAsia" w:eastAsia="仿宋_GB2312"/>
          <w:color w:val="auto"/>
          <w:kern w:val="0"/>
          <w:highlight w:val="none"/>
          <w:lang w:eastAsia="zh-CN"/>
        </w:rPr>
        <w:t>“</w:t>
      </w:r>
      <w:r>
        <w:rPr>
          <w:rFonts w:hint="eastAsia" w:eastAsia="仿宋_GB2312"/>
          <w:color w:val="auto"/>
          <w:kern w:val="0"/>
          <w:highlight w:val="none"/>
        </w:rPr>
        <w:t>学生社区志愿服务计学分</w:t>
      </w:r>
      <w:r>
        <w:rPr>
          <w:rFonts w:hint="eastAsia" w:eastAsia="仿宋_GB2312"/>
          <w:color w:val="auto"/>
          <w:kern w:val="0"/>
          <w:highlight w:val="none"/>
          <w:lang w:eastAsia="zh-CN"/>
        </w:rPr>
        <w:t>”“</w:t>
      </w:r>
      <w:r>
        <w:rPr>
          <w:rFonts w:hint="eastAsia" w:eastAsia="仿宋_GB2312"/>
          <w:color w:val="auto"/>
          <w:kern w:val="0"/>
          <w:highlight w:val="none"/>
        </w:rPr>
        <w:t>时间银行</w:t>
      </w:r>
      <w:r>
        <w:rPr>
          <w:rFonts w:hint="eastAsia" w:eastAsia="仿宋_GB2312"/>
          <w:color w:val="auto"/>
          <w:kern w:val="0"/>
          <w:highlight w:val="none"/>
          <w:lang w:eastAsia="zh-CN"/>
        </w:rPr>
        <w:t>”</w:t>
      </w:r>
      <w:r>
        <w:rPr>
          <w:rFonts w:hint="eastAsia" w:eastAsia="仿宋_GB2312"/>
          <w:color w:val="auto"/>
          <w:kern w:val="0"/>
          <w:highlight w:val="none"/>
        </w:rPr>
        <w:t>等做法，保护志愿者合法权益</w:t>
      </w:r>
      <w:r>
        <w:rPr>
          <w:rFonts w:hint="eastAsia" w:eastAsia="仿宋_GB2312"/>
          <w:color w:val="auto"/>
          <w:kern w:val="0"/>
          <w:highlight w:val="none"/>
          <w:lang w:eastAsia="zh-CN"/>
        </w:rPr>
        <w:t>；</w:t>
      </w:r>
      <w:r>
        <w:rPr>
          <w:rFonts w:hint="eastAsia" w:eastAsia="仿宋_GB2312"/>
          <w:color w:val="auto"/>
          <w:kern w:val="0"/>
          <w:highlight w:val="none"/>
        </w:rPr>
        <w:t>完善老年人关爱服务体系，积极防范和及时发现意外风险</w:t>
      </w:r>
      <w:r>
        <w:rPr>
          <w:rFonts w:hint="eastAsia" w:eastAsia="仿宋_GB2312"/>
          <w:color w:val="auto"/>
          <w:kern w:val="0"/>
          <w:highlight w:val="none"/>
          <w:lang w:eastAsia="zh-CN"/>
        </w:rPr>
        <w:t>，</w:t>
      </w:r>
      <w:r>
        <w:rPr>
          <w:rFonts w:hint="eastAsia" w:eastAsia="仿宋_GB2312"/>
          <w:color w:val="auto"/>
          <w:kern w:val="0"/>
          <w:highlight w:val="none"/>
        </w:rPr>
        <w:t>积极拓展适合老年人特点的文化娱乐、体育健身、休闲旅游、健康服务、精神慰藉、法律服务等服务。建立养老服务综合监管制度，加快推进养老服务领域社会信用体系建设</w:t>
      </w:r>
      <w:r>
        <w:rPr>
          <w:rFonts w:hint="eastAsia" w:eastAsia="仿宋_GB2312"/>
          <w:color w:val="auto"/>
          <w:kern w:val="0"/>
          <w:highlight w:val="none"/>
          <w:lang w:eastAsia="zh-CN"/>
        </w:rPr>
        <w:t>，</w:t>
      </w:r>
      <w:r>
        <w:rPr>
          <w:rFonts w:hint="eastAsia" w:eastAsia="仿宋_GB2312"/>
          <w:color w:val="auto"/>
          <w:kern w:val="0"/>
          <w:highlight w:val="none"/>
        </w:rPr>
        <w:t>强化老年人消费权益保护</w:t>
      </w:r>
      <w:r>
        <w:rPr>
          <w:rFonts w:hint="eastAsia" w:eastAsia="仿宋_GB2312"/>
          <w:color w:val="auto"/>
          <w:kern w:val="0"/>
          <w:highlight w:val="none"/>
          <w:lang w:eastAsia="zh-CN"/>
        </w:rPr>
        <w:t>。</w:t>
      </w:r>
      <w:r>
        <w:rPr>
          <w:rFonts w:hint="eastAsia" w:eastAsia="仿宋_GB2312"/>
          <w:color w:val="auto"/>
          <w:kern w:val="0"/>
          <w:highlight w:val="none"/>
        </w:rPr>
        <w:t>建立养老服务褒扬机制，弘扬敬老、养老、助老、爱老的社会风尚，营造全社会关爱老人的浓厚氛围，努力实现老有所养、老有所医、老有所乐。</w:t>
      </w:r>
    </w:p>
    <w:p w14:paraId="3ACE8C74">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1"/>
        <w:rPr>
          <w:rFonts w:eastAsia="黑体"/>
          <w:color w:val="auto"/>
          <w:highlight w:val="none"/>
        </w:rPr>
      </w:pPr>
      <w:bookmarkStart w:id="707" w:name="_Toc18501"/>
      <w:bookmarkStart w:id="708" w:name="_Toc19754"/>
      <w:bookmarkStart w:id="709" w:name="_Toc31577"/>
      <w:bookmarkStart w:id="710" w:name="_Toc10451"/>
      <w:bookmarkStart w:id="711" w:name="_Toc15444"/>
      <w:bookmarkStart w:id="712" w:name="_Toc27831"/>
      <w:bookmarkStart w:id="713" w:name="_Toc15174"/>
      <w:bookmarkStart w:id="714" w:name="_Toc18734"/>
      <w:bookmarkStart w:id="715" w:name="_Toc22106"/>
      <w:bookmarkStart w:id="716" w:name="_Toc25301"/>
      <w:bookmarkStart w:id="717" w:name="_Toc27395"/>
      <w:r>
        <w:rPr>
          <w:rFonts w:hint="eastAsia" w:eastAsia="黑体"/>
          <w:color w:val="auto"/>
          <w:highlight w:val="none"/>
        </w:rPr>
        <w:t>五、进一步织牢织密民生保障网</w:t>
      </w:r>
      <w:bookmarkEnd w:id="707"/>
      <w:bookmarkEnd w:id="708"/>
      <w:bookmarkEnd w:id="709"/>
      <w:bookmarkEnd w:id="710"/>
      <w:bookmarkEnd w:id="711"/>
      <w:bookmarkEnd w:id="712"/>
    </w:p>
    <w:p w14:paraId="114CC320">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eastAsia="仿宋_GB2312"/>
          <w:color w:val="auto"/>
          <w:kern w:val="0"/>
          <w:highlight w:val="none"/>
        </w:rPr>
      </w:pPr>
      <w:r>
        <w:rPr>
          <w:rFonts w:hint="eastAsia" w:eastAsia="仿宋_GB2312"/>
          <w:color w:val="auto"/>
          <w:kern w:val="0"/>
          <w:highlight w:val="none"/>
        </w:rPr>
        <w:t>坚持应保尽保原则，尽力而为、量力而行，健全基本养老保险、基本医疗险制度，完善社会救助体系，切实提高社会福利和住房保障水平，构建覆盖全市、城乡统筹、公平统一、可持续的多层次社会保障体系。</w:t>
      </w:r>
    </w:p>
    <w:p w14:paraId="60E407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b w:val="0"/>
          <w:bCs w:val="0"/>
          <w:color w:val="auto"/>
          <w:highlight w:val="none"/>
        </w:rPr>
      </w:pPr>
      <w:bookmarkStart w:id="718" w:name="_Toc31703"/>
      <w:bookmarkStart w:id="719" w:name="_Toc22714"/>
      <w:r>
        <w:rPr>
          <w:rFonts w:hint="eastAsia"/>
          <w:b w:val="0"/>
          <w:bCs w:val="0"/>
          <w:color w:val="auto"/>
          <w:highlight w:val="none"/>
        </w:rPr>
        <w:t>（一）完善基本养老保险制度</w:t>
      </w:r>
      <w:bookmarkEnd w:id="718"/>
      <w:bookmarkEnd w:id="719"/>
    </w:p>
    <w:p w14:paraId="73EBD0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auto"/>
          <w:highlight w:val="none"/>
        </w:rPr>
      </w:pPr>
      <w:r>
        <w:rPr>
          <w:rFonts w:hint="eastAsia" w:eastAsia="仿宋_GB2312"/>
          <w:color w:val="auto"/>
          <w:kern w:val="0"/>
          <w:highlight w:val="none"/>
        </w:rPr>
        <w:t>健全覆盖全民、城乡统筹、权责清晰、保障适度、可持续的多层次社会保障体系，织密扎牢社会保障网。深入推进全民参保计划，强力推进扩面征缴，促进和引导各类单位和符合条件人员长期持续参保缴费，重点推动灵活就业人员和新生市场主体参保。建立市、县区养老保险基金缺口分担机制，落实渐进式延迟法定退休年龄政策，发展多层次、多支柱养老保险体系。推进机关事业单位养老保险制度改革，全面建立机关事业单位职工职业年金。完善城乡居民基本养老保险制度，做好社保扶贫助困工作，落实政府为困难人员代缴养老保险政策。发挥失业保险金</w:t>
      </w:r>
      <w:r>
        <w:rPr>
          <w:rFonts w:hint="eastAsia" w:eastAsia="仿宋_GB2312"/>
          <w:color w:val="auto"/>
          <w:kern w:val="0"/>
          <w:highlight w:val="none"/>
          <w:lang w:eastAsia="zh-CN"/>
        </w:rPr>
        <w:t>“</w:t>
      </w:r>
      <w:r>
        <w:rPr>
          <w:rFonts w:hint="eastAsia" w:eastAsia="仿宋_GB2312"/>
          <w:color w:val="auto"/>
          <w:kern w:val="0"/>
          <w:highlight w:val="none"/>
        </w:rPr>
        <w:t>保生活促就业防失业</w:t>
      </w:r>
      <w:r>
        <w:rPr>
          <w:rFonts w:hint="eastAsia" w:eastAsia="仿宋_GB2312"/>
          <w:color w:val="auto"/>
          <w:kern w:val="0"/>
          <w:highlight w:val="none"/>
          <w:lang w:eastAsia="zh-CN"/>
        </w:rPr>
        <w:t>”</w:t>
      </w:r>
      <w:r>
        <w:rPr>
          <w:rFonts w:hint="eastAsia" w:eastAsia="仿宋_GB2312"/>
          <w:color w:val="auto"/>
          <w:kern w:val="0"/>
          <w:highlight w:val="none"/>
        </w:rPr>
        <w:t>作用标准调整机制，提高失业保险待遇水平。继续推进交通、铁路、水利等行业建设工程按项目参保工作，扩大工伤保险参保覆盖面。应用科技手段加强社保基金管理，形成基金监管的长效机制，确保基金完整安全。</w:t>
      </w:r>
    </w:p>
    <w:p w14:paraId="78F580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b w:val="0"/>
          <w:bCs w:val="0"/>
          <w:color w:val="auto"/>
          <w:highlight w:val="none"/>
        </w:rPr>
      </w:pPr>
      <w:bookmarkStart w:id="720" w:name="_Toc32657"/>
      <w:bookmarkStart w:id="721" w:name="_Toc3664"/>
      <w:r>
        <w:rPr>
          <w:rFonts w:hint="eastAsia"/>
          <w:b w:val="0"/>
          <w:bCs w:val="0"/>
          <w:color w:val="auto"/>
          <w:highlight w:val="none"/>
        </w:rPr>
        <w:t>（二）完善基本医疗</w:t>
      </w:r>
      <w:r>
        <w:rPr>
          <w:rFonts w:hint="eastAsia"/>
          <w:b w:val="0"/>
          <w:bCs w:val="0"/>
          <w:color w:val="auto"/>
          <w:highlight w:val="none"/>
          <w:lang w:eastAsia="zh-CN"/>
        </w:rPr>
        <w:t>保险</w:t>
      </w:r>
      <w:r>
        <w:rPr>
          <w:rFonts w:hint="eastAsia"/>
          <w:b w:val="0"/>
          <w:bCs w:val="0"/>
          <w:color w:val="auto"/>
          <w:highlight w:val="none"/>
        </w:rPr>
        <w:t>制度</w:t>
      </w:r>
      <w:bookmarkEnd w:id="720"/>
      <w:bookmarkEnd w:id="721"/>
    </w:p>
    <w:p w14:paraId="1D0EA474">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eastAsia="仿宋_GB2312"/>
          <w:color w:val="auto"/>
          <w:kern w:val="0"/>
          <w:highlight w:val="none"/>
        </w:rPr>
      </w:pPr>
      <w:r>
        <w:rPr>
          <w:rFonts w:hint="eastAsia" w:eastAsia="仿宋_GB2312"/>
          <w:color w:val="auto"/>
          <w:kern w:val="0"/>
          <w:highlight w:val="none"/>
        </w:rPr>
        <w:t>完善基本医疗保险制度和政策体系，健全重大疾病医疗保险和救助制度，探索建立长期护理保险制度，促进基本医保与商业健康保险相互补充和衔接发展。提升基本医疗保险统筹层次，实现城乡居民医保基金的统收统支。探索基本医疗保险门诊统筹制度，深化医保领域购买服务保障模式，推进医疗保险付费方式改革，构建工伤预防、补偿和康复</w:t>
      </w:r>
      <w:r>
        <w:rPr>
          <w:rFonts w:hint="eastAsia" w:eastAsia="仿宋_GB2312"/>
          <w:color w:val="auto"/>
          <w:kern w:val="0"/>
          <w:highlight w:val="none"/>
          <w:lang w:eastAsia="zh-CN"/>
        </w:rPr>
        <w:t>“</w:t>
      </w:r>
      <w:r>
        <w:rPr>
          <w:rFonts w:hint="eastAsia" w:eastAsia="仿宋_GB2312"/>
          <w:color w:val="auto"/>
          <w:kern w:val="0"/>
          <w:highlight w:val="none"/>
        </w:rPr>
        <w:t>三位一体</w:t>
      </w:r>
      <w:r>
        <w:rPr>
          <w:rFonts w:hint="eastAsia" w:eastAsia="仿宋_GB2312"/>
          <w:color w:val="auto"/>
          <w:kern w:val="0"/>
          <w:highlight w:val="none"/>
          <w:lang w:eastAsia="zh-CN"/>
        </w:rPr>
        <w:t>”</w:t>
      </w:r>
      <w:r>
        <w:rPr>
          <w:rFonts w:hint="eastAsia" w:eastAsia="仿宋_GB2312"/>
          <w:color w:val="auto"/>
          <w:kern w:val="0"/>
          <w:highlight w:val="none"/>
        </w:rPr>
        <w:t>的工伤保险体系。探索新经济新业态职业伤害保障和灵活就业人员参加工伤保险办法。推进京津冀异地就医门诊费用直接结算试点。建立健全医疗保险基金监管制度体系，严守基金安全红线。</w:t>
      </w:r>
    </w:p>
    <w:p w14:paraId="2A1D09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b w:val="0"/>
          <w:bCs w:val="0"/>
          <w:color w:val="auto"/>
          <w:highlight w:val="none"/>
        </w:rPr>
      </w:pPr>
      <w:bookmarkStart w:id="722" w:name="_Toc13959"/>
      <w:bookmarkStart w:id="723" w:name="_Toc27429"/>
      <w:r>
        <w:rPr>
          <w:rFonts w:hint="eastAsia"/>
          <w:b w:val="0"/>
          <w:bCs w:val="0"/>
          <w:color w:val="auto"/>
          <w:highlight w:val="none"/>
        </w:rPr>
        <w:t>（三）完善社会救助福利制度</w:t>
      </w:r>
      <w:bookmarkEnd w:id="722"/>
      <w:bookmarkEnd w:id="723"/>
    </w:p>
    <w:p w14:paraId="43837E90">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eastAsia="仿宋"/>
          <w:color w:val="auto"/>
          <w:highlight w:val="none"/>
        </w:rPr>
      </w:pPr>
      <w:bookmarkStart w:id="724" w:name="_Toc16254"/>
      <w:r>
        <w:rPr>
          <w:rFonts w:hint="eastAsia" w:eastAsia="仿宋_GB2312"/>
          <w:color w:val="auto"/>
          <w:highlight w:val="none"/>
        </w:rPr>
        <w:t>完善城乡居民最低生活保障</w:t>
      </w:r>
      <w:r>
        <w:rPr>
          <w:rFonts w:hint="eastAsia" w:eastAsia="仿宋_GB2312"/>
          <w:color w:val="auto"/>
          <w:highlight w:val="none"/>
          <w:lang w:eastAsia="zh-CN"/>
        </w:rPr>
        <w:t>体系</w:t>
      </w:r>
      <w:r>
        <w:rPr>
          <w:rFonts w:hint="eastAsia" w:eastAsia="仿宋_GB2312"/>
          <w:color w:val="auto"/>
          <w:highlight w:val="none"/>
        </w:rPr>
        <w:t>，确保低保标准与当地经济发展水平同步增长。完善低保、特困和低收入家庭认定办法，确保动态管理、规范有序。细化特殊困难群体救助政策，实施差别化、差异化救助。积极发展服务类社会救助，开展政府购买社会救助服务，形成</w:t>
      </w:r>
      <w:r>
        <w:rPr>
          <w:rFonts w:hint="eastAsia" w:eastAsia="仿宋_GB2312"/>
          <w:color w:val="auto"/>
          <w:highlight w:val="none"/>
          <w:lang w:eastAsia="zh-CN"/>
        </w:rPr>
        <w:t>“</w:t>
      </w:r>
      <w:r>
        <w:rPr>
          <w:rFonts w:hint="eastAsia" w:eastAsia="仿宋_GB2312"/>
          <w:color w:val="auto"/>
          <w:highlight w:val="none"/>
        </w:rPr>
        <w:t>物质</w:t>
      </w:r>
      <w:r>
        <w:rPr>
          <w:rFonts w:eastAsia="仿宋_GB2312"/>
          <w:color w:val="auto"/>
          <w:highlight w:val="none"/>
        </w:rPr>
        <w:t>+</w:t>
      </w:r>
      <w:r>
        <w:rPr>
          <w:rFonts w:hint="eastAsia" w:eastAsia="仿宋_GB2312"/>
          <w:color w:val="auto"/>
          <w:highlight w:val="none"/>
        </w:rPr>
        <w:t>服务</w:t>
      </w:r>
      <w:r>
        <w:rPr>
          <w:rFonts w:hint="eastAsia" w:eastAsia="仿宋_GB2312"/>
          <w:color w:val="auto"/>
          <w:highlight w:val="none"/>
          <w:lang w:eastAsia="zh-CN"/>
        </w:rPr>
        <w:t>”</w:t>
      </w:r>
      <w:r>
        <w:rPr>
          <w:rFonts w:hint="eastAsia" w:eastAsia="仿宋_GB2312"/>
          <w:color w:val="auto"/>
          <w:highlight w:val="none"/>
        </w:rPr>
        <w:t>的救助方式。大力发展慈善事业，鼓励支持专业社工和志愿者参与社会救助，鼓励红十字会和个人开展救助帮扶。完善社会福利</w:t>
      </w:r>
      <w:r>
        <w:rPr>
          <w:rFonts w:hint="eastAsia" w:eastAsia="仿宋_GB2312"/>
          <w:color w:val="auto"/>
          <w:highlight w:val="none"/>
          <w:lang w:eastAsia="zh-CN"/>
        </w:rPr>
        <w:t>体系</w:t>
      </w:r>
      <w:r>
        <w:rPr>
          <w:rFonts w:hint="eastAsia" w:eastAsia="仿宋_GB2312"/>
          <w:color w:val="auto"/>
          <w:highlight w:val="none"/>
        </w:rPr>
        <w:t>，强化孤儿和事实无人抚养儿童基本社会保障，健全困难残疾人生活补贴和重度残疾人护理补贴制度，完善农村留守儿童、留守妇女、留守老人关爱服务体系，提高高龄老人财政补贴标准。大力推进殡葬改革，提升殡葬服务保障能力。</w:t>
      </w:r>
      <w:bookmarkEnd w:id="724"/>
    </w:p>
    <w:p w14:paraId="5FB7BC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b w:val="0"/>
          <w:bCs w:val="0"/>
          <w:color w:val="auto"/>
          <w:highlight w:val="none"/>
        </w:rPr>
      </w:pPr>
      <w:bookmarkStart w:id="725" w:name="_Toc668"/>
      <w:bookmarkStart w:id="726" w:name="_Toc10610"/>
      <w:r>
        <w:rPr>
          <w:rFonts w:hint="eastAsia"/>
          <w:b w:val="0"/>
          <w:bCs w:val="0"/>
          <w:color w:val="auto"/>
          <w:highlight w:val="none"/>
        </w:rPr>
        <w:t>（四）完善住房保障制度</w:t>
      </w:r>
      <w:bookmarkEnd w:id="725"/>
      <w:bookmarkEnd w:id="726"/>
    </w:p>
    <w:p w14:paraId="4345DCC5">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eastAsia="仿宋_GB2312"/>
          <w:color w:val="auto"/>
          <w:kern w:val="0"/>
          <w:highlight w:val="none"/>
        </w:rPr>
      </w:pPr>
      <w:r>
        <w:rPr>
          <w:rFonts w:hint="eastAsia" w:eastAsia="仿宋_GB2312"/>
          <w:color w:val="auto"/>
          <w:kern w:val="0"/>
          <w:highlight w:val="none"/>
        </w:rPr>
        <w:t>坚持房子是用来住的、不是用来炒的定位，落实城市主体责任，租购并举，因城施策，促进房地产市场平稳健康发展。建设普通商品房，支持首套和改善性居住需求。高度重视保障性租赁住房建设，加快完善长租房政策，逐渐使租购住房在公共服务上享有同等权利。整顿租赁市场秩序，规范市场行为，对租金水平进行合理调控。支持机构化租赁企业规模化、集约化、专业化发展。建立健全公开规范的住房公积金制度，改进住房公积金提取、使用、监管机制。</w:t>
      </w:r>
    </w:p>
    <w:p w14:paraId="38F7E1E2">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1"/>
        <w:rPr>
          <w:rFonts w:eastAsia="黑体"/>
          <w:color w:val="auto"/>
          <w:highlight w:val="none"/>
        </w:rPr>
      </w:pPr>
      <w:bookmarkStart w:id="727" w:name="_Toc11950"/>
      <w:bookmarkStart w:id="728" w:name="_Toc23175"/>
      <w:r>
        <w:rPr>
          <w:rFonts w:hint="eastAsia" w:eastAsia="黑体"/>
          <w:color w:val="auto"/>
          <w:highlight w:val="none"/>
        </w:rPr>
        <w:t>六、统筹其他各项事业发展</w:t>
      </w:r>
      <w:bookmarkEnd w:id="727"/>
      <w:bookmarkEnd w:id="728"/>
    </w:p>
    <w:p w14:paraId="40A684F1">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eastAsia="仿宋_GB2312"/>
          <w:color w:val="auto"/>
          <w:kern w:val="0"/>
          <w:highlight w:val="none"/>
        </w:rPr>
      </w:pPr>
      <w:r>
        <w:rPr>
          <w:rFonts w:hint="eastAsia" w:eastAsia="仿宋_GB2312"/>
          <w:color w:val="auto"/>
          <w:kern w:val="0"/>
          <w:highlight w:val="none"/>
        </w:rPr>
        <w:t>全面落实民族和宗教政策，加强弱势群体保护，促进青年发展，推动妇女儿童、红十字等社会事业协调均衡发展。</w:t>
      </w:r>
    </w:p>
    <w:p w14:paraId="0B1C8A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b w:val="0"/>
          <w:bCs w:val="0"/>
          <w:color w:val="auto"/>
          <w:highlight w:val="none"/>
        </w:rPr>
      </w:pPr>
      <w:bookmarkStart w:id="729" w:name="_Toc2475"/>
      <w:bookmarkStart w:id="730" w:name="_Toc25326"/>
      <w:r>
        <w:rPr>
          <w:rFonts w:hint="eastAsia"/>
          <w:b w:val="0"/>
          <w:bCs w:val="0"/>
          <w:color w:val="auto"/>
          <w:highlight w:val="none"/>
        </w:rPr>
        <w:t>（一）严格落实民族和宗教政策</w:t>
      </w:r>
      <w:bookmarkEnd w:id="729"/>
      <w:bookmarkEnd w:id="730"/>
    </w:p>
    <w:p w14:paraId="390673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auto"/>
          <w:highlight w:val="none"/>
        </w:rPr>
      </w:pPr>
      <w:r>
        <w:rPr>
          <w:rFonts w:hint="eastAsia" w:eastAsia="仿宋_GB2312"/>
          <w:color w:val="auto"/>
          <w:kern w:val="0"/>
          <w:highlight w:val="none"/>
        </w:rPr>
        <w:t>全面贯彻党的宗教工作基本方针，坚持宗教中国化方向，依法加强宗教事务管理，积极引导宗教与社会主义社会相适应。落实党的民族政策，加强统一多民族基本国情和民族团结进步教育，加大党的民族理论和民族政策学习宣传力度，引导各族干部群众树立正确的祖国观、民族观、历史观、促进各民族共同发展进步。全面提高民族宗教工作法治化水平，严厉查处各类非法宗教活动，依法制止利用宗教干涉农村公共事务。</w:t>
      </w:r>
    </w:p>
    <w:p w14:paraId="7E778462">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150"/>
        <w:textAlignment w:val="auto"/>
        <w:outlineLvl w:val="2"/>
        <w:rPr>
          <w:rFonts w:eastAsia="楷体"/>
          <w:b w:val="0"/>
          <w:bCs w:val="0"/>
          <w:color w:val="auto"/>
          <w:highlight w:val="none"/>
        </w:rPr>
      </w:pPr>
      <w:bookmarkStart w:id="731" w:name="_Toc31876"/>
      <w:bookmarkStart w:id="732" w:name="_Toc8323"/>
      <w:r>
        <w:rPr>
          <w:rFonts w:hint="eastAsia" w:eastAsia="楷体"/>
          <w:b w:val="0"/>
          <w:bCs w:val="0"/>
          <w:color w:val="auto"/>
          <w:highlight w:val="none"/>
        </w:rPr>
        <w:t>（二）持续加强妇女儿童保护</w:t>
      </w:r>
      <w:bookmarkEnd w:id="731"/>
      <w:bookmarkEnd w:id="732"/>
    </w:p>
    <w:p w14:paraId="781B4FF6">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eastAsia="仿宋_GB2312"/>
          <w:color w:val="auto"/>
          <w:kern w:val="0"/>
          <w:highlight w:val="none"/>
        </w:rPr>
      </w:pPr>
      <w:r>
        <w:rPr>
          <w:rFonts w:hint="eastAsia" w:eastAsia="仿宋_GB2312"/>
          <w:color w:val="auto"/>
          <w:kern w:val="0"/>
          <w:highlight w:val="none"/>
        </w:rPr>
        <w:t>贯彻落实男女平等基本国策、坚持儿童优先原则，维护妇女儿童合法权益，保障男女两性平等获得卫生、教育、就业、社会保障、婚姻财产、土地权益和参与社会事务等权利，促进妇女儿童全面发展，让尊重和关爱妇女儿童成为国家意志、公民素养和社会风尚。重视妇女人才的培养和使用，提高妇女参政比例，落实直接联系妇女群众制度，加强妇女之家、儿童之家建设，构筑妇女群众参与共建共治共享基层治理的平台。</w:t>
      </w:r>
    </w:p>
    <w:p w14:paraId="64623E12">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150"/>
        <w:textAlignment w:val="auto"/>
        <w:outlineLvl w:val="2"/>
        <w:rPr>
          <w:rFonts w:eastAsia="楷体"/>
          <w:b w:val="0"/>
          <w:bCs w:val="0"/>
          <w:color w:val="auto"/>
          <w:highlight w:val="none"/>
        </w:rPr>
      </w:pPr>
      <w:bookmarkStart w:id="733" w:name="_Toc29793"/>
      <w:bookmarkStart w:id="734" w:name="_Toc9783"/>
      <w:r>
        <w:rPr>
          <w:rFonts w:hint="eastAsia" w:eastAsia="楷体"/>
          <w:b w:val="0"/>
          <w:bCs w:val="0"/>
          <w:color w:val="auto"/>
          <w:highlight w:val="none"/>
        </w:rPr>
        <w:t>（三）促进青少年优先发展</w:t>
      </w:r>
      <w:bookmarkEnd w:id="733"/>
      <w:bookmarkEnd w:id="734"/>
    </w:p>
    <w:p w14:paraId="33437D54">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eastAsia="仿宋_GB2312"/>
          <w:color w:val="auto"/>
          <w:kern w:val="0"/>
          <w:highlight w:val="none"/>
        </w:rPr>
      </w:pPr>
      <w:r>
        <w:rPr>
          <w:rFonts w:hint="eastAsia" w:eastAsia="仿宋_GB2312"/>
          <w:color w:val="auto"/>
          <w:kern w:val="0"/>
          <w:highlight w:val="none"/>
        </w:rPr>
        <w:t>践行党管青年原则，坚持青年优先发展，实施青年思想引领工程，加大青年马克思主义者培养力度，为党培养和输送青年政治骨干。加强青少年社会工作人才建设，分层分类构建面向青年的思想引导教育体系，广泛开展</w:t>
      </w:r>
      <w:r>
        <w:rPr>
          <w:rFonts w:hint="eastAsia" w:eastAsia="仿宋_GB2312"/>
          <w:color w:val="auto"/>
          <w:kern w:val="0"/>
          <w:highlight w:val="none"/>
          <w:lang w:eastAsia="zh-CN"/>
        </w:rPr>
        <w:t>“</w:t>
      </w:r>
      <w:r>
        <w:rPr>
          <w:rFonts w:hint="eastAsia" w:eastAsia="仿宋_GB2312"/>
          <w:color w:val="auto"/>
          <w:kern w:val="0"/>
          <w:highlight w:val="none"/>
        </w:rPr>
        <w:t>青年大学习</w:t>
      </w:r>
      <w:r>
        <w:rPr>
          <w:rFonts w:hint="eastAsia" w:eastAsia="仿宋_GB2312"/>
          <w:color w:val="auto"/>
          <w:kern w:val="0"/>
          <w:highlight w:val="none"/>
          <w:lang w:eastAsia="zh-CN"/>
        </w:rPr>
        <w:t>”</w:t>
      </w:r>
      <w:r>
        <w:rPr>
          <w:rFonts w:hint="eastAsia" w:eastAsia="仿宋_GB2312"/>
          <w:color w:val="auto"/>
          <w:kern w:val="0"/>
          <w:highlight w:val="none"/>
        </w:rPr>
        <w:t>行动，组织开展对象化、分众化、互动化的学习交流和理论宣讲活动。实施青年发展促进工程，加强青年毕业求职、就业创业、婚恋交友及心理健康教育和服务，落实残疾青年、贫困家庭青年、进城务工青年等服务保障政策。加强城市随迁子女、留守儿童等困难帮扶和专业服务。加强青年志愿服务体系建设，引导青年有序参与政治生活和社会公共事务。</w:t>
      </w:r>
    </w:p>
    <w:p w14:paraId="62D0D325">
      <w:pPr>
        <w:pStyle w:val="9"/>
        <w:keepNext w:val="0"/>
        <w:keepLines w:val="0"/>
        <w:pageBreakBefore w:val="0"/>
        <w:widowControl w:val="0"/>
        <w:kinsoku/>
        <w:wordWrap/>
        <w:overflowPunct/>
        <w:topLinePunct w:val="0"/>
        <w:autoSpaceDE/>
        <w:autoSpaceDN/>
        <w:bidi w:val="0"/>
        <w:adjustRightInd/>
        <w:snapToGrid/>
        <w:spacing w:after="0" w:line="560" w:lineRule="exact"/>
        <w:ind w:left="640" w:firstLine="0" w:firstLineChars="0"/>
        <w:textAlignment w:val="auto"/>
        <w:outlineLvl w:val="2"/>
        <w:rPr>
          <w:rFonts w:eastAsia="楷体"/>
          <w:b w:val="0"/>
          <w:bCs w:val="0"/>
          <w:color w:val="auto"/>
          <w:highlight w:val="none"/>
        </w:rPr>
      </w:pPr>
      <w:bookmarkStart w:id="735" w:name="_Toc12660"/>
      <w:bookmarkStart w:id="736" w:name="_Toc26623"/>
      <w:r>
        <w:rPr>
          <w:rFonts w:hint="eastAsia" w:eastAsia="楷体"/>
          <w:b w:val="0"/>
          <w:bCs w:val="0"/>
          <w:color w:val="auto"/>
          <w:highlight w:val="none"/>
        </w:rPr>
        <w:t>（四）强化退役军人服务保障</w:t>
      </w:r>
      <w:bookmarkEnd w:id="735"/>
      <w:bookmarkEnd w:id="736"/>
    </w:p>
    <w:p w14:paraId="3F996F03">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eastAsia="仿宋_GB2312"/>
          <w:color w:val="auto"/>
          <w:kern w:val="0"/>
          <w:highlight w:val="none"/>
        </w:rPr>
      </w:pPr>
      <w:r>
        <w:rPr>
          <w:rFonts w:hint="eastAsia" w:eastAsia="仿宋_GB2312"/>
          <w:color w:val="auto"/>
          <w:kern w:val="0"/>
          <w:highlight w:val="none"/>
        </w:rPr>
        <w:t>贯彻落实退役军人领域法律法规和各项政策，全面提高退役军人服务保障能力和水平。继续推进</w:t>
      </w:r>
      <w:r>
        <w:rPr>
          <w:rFonts w:hint="eastAsia" w:eastAsia="仿宋_GB2312"/>
          <w:color w:val="auto"/>
          <w:kern w:val="0"/>
          <w:highlight w:val="none"/>
          <w:lang w:eastAsia="zh-CN"/>
        </w:rPr>
        <w:t>“</w:t>
      </w:r>
      <w:r>
        <w:rPr>
          <w:rFonts w:hint="eastAsia" w:eastAsia="仿宋_GB2312"/>
          <w:color w:val="auto"/>
          <w:kern w:val="0"/>
          <w:highlight w:val="none"/>
        </w:rPr>
        <w:t>全国示范型退役军人服务中心（站）</w:t>
      </w:r>
      <w:r>
        <w:rPr>
          <w:rFonts w:hint="eastAsia" w:eastAsia="仿宋_GB2312"/>
          <w:color w:val="auto"/>
          <w:kern w:val="0"/>
          <w:highlight w:val="none"/>
          <w:lang w:eastAsia="zh-CN"/>
        </w:rPr>
        <w:t>”</w:t>
      </w:r>
      <w:r>
        <w:rPr>
          <w:rFonts w:hint="eastAsia" w:eastAsia="仿宋_GB2312"/>
          <w:color w:val="auto"/>
          <w:kern w:val="0"/>
          <w:highlight w:val="none"/>
        </w:rPr>
        <w:t>建设。抓好军转干部、退役士兵等安置政策落实。开展</w:t>
      </w:r>
      <w:r>
        <w:rPr>
          <w:rFonts w:hint="eastAsia" w:eastAsia="仿宋_GB2312"/>
          <w:color w:val="auto"/>
          <w:kern w:val="0"/>
          <w:highlight w:val="none"/>
          <w:lang w:eastAsia="zh-CN"/>
        </w:rPr>
        <w:t>“</w:t>
      </w:r>
      <w:r>
        <w:rPr>
          <w:rFonts w:hint="eastAsia" w:eastAsia="仿宋_GB2312"/>
          <w:color w:val="auto"/>
          <w:kern w:val="0"/>
          <w:highlight w:val="none"/>
        </w:rPr>
        <w:t>最美双拥人物</w:t>
      </w:r>
      <w:r>
        <w:rPr>
          <w:rFonts w:hint="eastAsia" w:eastAsia="仿宋_GB2312"/>
          <w:color w:val="auto"/>
          <w:kern w:val="0"/>
          <w:highlight w:val="none"/>
          <w:lang w:eastAsia="zh-CN"/>
        </w:rPr>
        <w:t>”“</w:t>
      </w:r>
      <w:r>
        <w:rPr>
          <w:rFonts w:hint="eastAsia" w:eastAsia="仿宋_GB2312"/>
          <w:color w:val="auto"/>
          <w:kern w:val="0"/>
          <w:highlight w:val="none"/>
        </w:rPr>
        <w:t>最美军嫂</w:t>
      </w:r>
      <w:r>
        <w:rPr>
          <w:rFonts w:hint="eastAsia" w:eastAsia="仿宋_GB2312"/>
          <w:color w:val="auto"/>
          <w:kern w:val="0"/>
          <w:highlight w:val="none"/>
          <w:lang w:eastAsia="zh-CN"/>
        </w:rPr>
        <w:t>”“</w:t>
      </w:r>
      <w:r>
        <w:rPr>
          <w:rFonts w:hint="eastAsia" w:eastAsia="仿宋_GB2312"/>
          <w:color w:val="auto"/>
          <w:kern w:val="0"/>
          <w:highlight w:val="none"/>
        </w:rPr>
        <w:t>最美退役军人</w:t>
      </w:r>
      <w:r>
        <w:rPr>
          <w:rFonts w:hint="eastAsia" w:eastAsia="仿宋_GB2312"/>
          <w:color w:val="auto"/>
          <w:kern w:val="0"/>
          <w:highlight w:val="none"/>
          <w:lang w:eastAsia="zh-CN"/>
        </w:rPr>
        <w:t>”</w:t>
      </w:r>
      <w:r>
        <w:rPr>
          <w:rFonts w:hint="eastAsia" w:eastAsia="仿宋_GB2312"/>
          <w:color w:val="auto"/>
          <w:kern w:val="0"/>
          <w:highlight w:val="none"/>
        </w:rPr>
        <w:t>等选树宣传活动。引导支持各类企事业单位、人民团体、社会组织参与双拥工作。</w:t>
      </w:r>
    </w:p>
    <w:p w14:paraId="06DFC358">
      <w:pPr>
        <w:pStyle w:val="9"/>
        <w:keepNext w:val="0"/>
        <w:keepLines w:val="0"/>
        <w:pageBreakBefore w:val="0"/>
        <w:widowControl w:val="0"/>
        <w:kinsoku/>
        <w:wordWrap/>
        <w:overflowPunct/>
        <w:topLinePunct w:val="0"/>
        <w:autoSpaceDE/>
        <w:autoSpaceDN/>
        <w:bidi w:val="0"/>
        <w:adjustRightInd/>
        <w:snapToGrid/>
        <w:spacing w:after="0" w:line="560" w:lineRule="exact"/>
        <w:ind w:left="640" w:firstLine="0" w:firstLineChars="0"/>
        <w:textAlignment w:val="auto"/>
        <w:outlineLvl w:val="2"/>
        <w:rPr>
          <w:rFonts w:eastAsia="楷体"/>
          <w:b w:val="0"/>
          <w:bCs w:val="0"/>
          <w:color w:val="auto"/>
          <w:highlight w:val="none"/>
        </w:rPr>
      </w:pPr>
      <w:bookmarkStart w:id="737" w:name="_Toc22065"/>
      <w:bookmarkStart w:id="738" w:name="_Toc29599"/>
      <w:r>
        <w:rPr>
          <w:rFonts w:hint="eastAsia" w:eastAsia="楷体"/>
          <w:b w:val="0"/>
          <w:bCs w:val="0"/>
          <w:color w:val="auto"/>
          <w:highlight w:val="none"/>
        </w:rPr>
        <w:t>（五）支持发展残疾人事业</w:t>
      </w:r>
      <w:bookmarkEnd w:id="737"/>
      <w:bookmarkEnd w:id="738"/>
    </w:p>
    <w:p w14:paraId="0610751C">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eastAsia="仿宋_GB2312"/>
          <w:color w:val="auto"/>
          <w:kern w:val="0"/>
          <w:highlight w:val="none"/>
        </w:rPr>
      </w:pPr>
      <w:r>
        <w:rPr>
          <w:rFonts w:hint="eastAsia" w:eastAsia="仿宋_GB2312"/>
          <w:color w:val="auto"/>
          <w:kern w:val="0"/>
          <w:highlight w:val="none"/>
        </w:rPr>
        <w:t>坚持弱有所扶原则，完善残疾人帮扶制度和服务体系。促进城乡残疾人就业创业，提高残疾人参与和发展能力。推动残疾人基本服务均等化，帮助残疾人过上更好更有尊严的生活。保障残疾人权利，为残疾人提供无障碍环境和便利化条件。发展助残志愿服务，加强和改善残疾人帮扶，增强基层为残疾人服务能力。发挥残疾人的主体作用，激励广大残疾人增强自我发展能力，广泛参与社会生活。</w:t>
      </w:r>
    </w:p>
    <w:p w14:paraId="66024CC7">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3"/>
        <w:textAlignment w:val="auto"/>
        <w:outlineLvl w:val="2"/>
        <w:rPr>
          <w:rFonts w:eastAsia="楷体"/>
          <w:b w:val="0"/>
          <w:bCs w:val="0"/>
          <w:color w:val="auto"/>
          <w:highlight w:val="none"/>
        </w:rPr>
      </w:pPr>
      <w:bookmarkStart w:id="739" w:name="_Toc5797"/>
      <w:bookmarkStart w:id="740" w:name="_Toc24683"/>
      <w:r>
        <w:rPr>
          <w:rFonts w:hint="eastAsia" w:eastAsia="楷体"/>
          <w:b w:val="0"/>
          <w:bCs w:val="0"/>
          <w:color w:val="auto"/>
          <w:highlight w:val="none"/>
        </w:rPr>
        <w:t>（六）支持发展红十字事业</w:t>
      </w:r>
      <w:bookmarkEnd w:id="739"/>
      <w:bookmarkEnd w:id="740"/>
    </w:p>
    <w:p w14:paraId="435CFB7B">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color w:val="auto"/>
          <w:highlight w:val="none"/>
        </w:rPr>
      </w:pPr>
      <w:r>
        <w:rPr>
          <w:rFonts w:hint="eastAsia" w:eastAsia="仿宋_GB2312"/>
          <w:color w:val="auto"/>
          <w:kern w:val="0"/>
          <w:highlight w:val="none"/>
        </w:rPr>
        <w:t>牢牢把握红十字事业发展的政治方向，努力把</w:t>
      </w:r>
      <w:r>
        <w:rPr>
          <w:rFonts w:hint="eastAsia" w:eastAsia="仿宋_GB2312"/>
          <w:color w:val="auto"/>
          <w:kern w:val="0"/>
          <w:highlight w:val="none"/>
          <w:lang w:eastAsia="zh-CN"/>
        </w:rPr>
        <w:t>“</w:t>
      </w:r>
      <w:r>
        <w:rPr>
          <w:rFonts w:hint="eastAsia" w:eastAsia="仿宋_GB2312"/>
          <w:color w:val="auto"/>
          <w:kern w:val="0"/>
          <w:highlight w:val="none"/>
        </w:rPr>
        <w:t>真心关系群众，努力为国奉献、为民造福</w:t>
      </w:r>
      <w:r>
        <w:rPr>
          <w:rFonts w:hint="eastAsia" w:eastAsia="仿宋_GB2312"/>
          <w:color w:val="auto"/>
          <w:kern w:val="0"/>
          <w:highlight w:val="none"/>
          <w:lang w:eastAsia="zh-CN"/>
        </w:rPr>
        <w:t>”</w:t>
      </w:r>
      <w:r>
        <w:rPr>
          <w:rFonts w:hint="eastAsia" w:eastAsia="仿宋_GB2312"/>
          <w:color w:val="auto"/>
          <w:kern w:val="0"/>
          <w:highlight w:val="none"/>
        </w:rPr>
        <w:t>落到实处。提升人道救援和服务能力，提升应急救护知识和技能普及率，打造</w:t>
      </w:r>
      <w:r>
        <w:rPr>
          <w:rFonts w:hint="eastAsia" w:eastAsia="仿宋_GB2312"/>
          <w:color w:val="auto"/>
          <w:kern w:val="0"/>
          <w:highlight w:val="none"/>
          <w:lang w:eastAsia="zh-CN"/>
        </w:rPr>
        <w:t>“</w:t>
      </w:r>
      <w:r>
        <w:rPr>
          <w:rFonts w:hint="eastAsia" w:eastAsia="仿宋_GB2312"/>
          <w:color w:val="auto"/>
          <w:kern w:val="0"/>
          <w:highlight w:val="none"/>
        </w:rPr>
        <w:t>红十字就在身边</w:t>
      </w:r>
      <w:r>
        <w:rPr>
          <w:rFonts w:hint="eastAsia" w:eastAsia="仿宋_GB2312"/>
          <w:color w:val="auto"/>
          <w:kern w:val="0"/>
          <w:highlight w:val="none"/>
          <w:lang w:eastAsia="zh-CN"/>
        </w:rPr>
        <w:t>”</w:t>
      </w:r>
      <w:r>
        <w:rPr>
          <w:rFonts w:hint="eastAsia" w:eastAsia="仿宋_GB2312"/>
          <w:color w:val="auto"/>
          <w:kern w:val="0"/>
          <w:highlight w:val="none"/>
        </w:rPr>
        <w:t>品牌。大力实施人道救援工程，持续实施</w:t>
      </w:r>
      <w:r>
        <w:rPr>
          <w:rFonts w:hint="eastAsia" w:eastAsia="仿宋_GB2312"/>
          <w:color w:val="auto"/>
          <w:kern w:val="0"/>
          <w:highlight w:val="none"/>
          <w:lang w:eastAsia="zh-CN"/>
        </w:rPr>
        <w:t>“</w:t>
      </w:r>
      <w:r>
        <w:rPr>
          <w:rFonts w:hint="eastAsia" w:eastAsia="仿宋_GB2312"/>
          <w:color w:val="auto"/>
          <w:kern w:val="0"/>
          <w:highlight w:val="none"/>
        </w:rPr>
        <w:t>红十字天使计划</w:t>
      </w:r>
      <w:r>
        <w:rPr>
          <w:rFonts w:hint="eastAsia" w:eastAsia="仿宋_GB2312"/>
          <w:color w:val="auto"/>
          <w:kern w:val="0"/>
          <w:highlight w:val="none"/>
          <w:lang w:eastAsia="zh-CN"/>
        </w:rPr>
        <w:t>”“</w:t>
      </w:r>
      <w:r>
        <w:rPr>
          <w:rFonts w:hint="eastAsia" w:eastAsia="仿宋_GB2312"/>
          <w:color w:val="auto"/>
          <w:kern w:val="0"/>
          <w:highlight w:val="none"/>
        </w:rPr>
        <w:t>红十字助我行</w:t>
      </w:r>
      <w:r>
        <w:rPr>
          <w:rFonts w:hint="eastAsia" w:eastAsia="仿宋_GB2312"/>
          <w:color w:val="auto"/>
          <w:kern w:val="0"/>
          <w:highlight w:val="none"/>
          <w:lang w:eastAsia="zh-CN"/>
        </w:rPr>
        <w:t>”“</w:t>
      </w:r>
      <w:r>
        <w:rPr>
          <w:rFonts w:hint="eastAsia" w:eastAsia="仿宋_GB2312"/>
          <w:color w:val="auto"/>
          <w:kern w:val="0"/>
          <w:highlight w:val="none"/>
        </w:rPr>
        <w:t>红十字温暖精神家园</w:t>
      </w:r>
      <w:r>
        <w:rPr>
          <w:rFonts w:hint="eastAsia" w:eastAsia="仿宋_GB2312"/>
          <w:color w:val="auto"/>
          <w:kern w:val="0"/>
          <w:highlight w:val="none"/>
          <w:lang w:eastAsia="zh-CN"/>
        </w:rPr>
        <w:t>”</w:t>
      </w:r>
      <w:r>
        <w:rPr>
          <w:rFonts w:hint="eastAsia" w:eastAsia="仿宋_GB2312"/>
          <w:color w:val="auto"/>
          <w:kern w:val="0"/>
          <w:highlight w:val="none"/>
        </w:rPr>
        <w:t>等人道救援项目，培育</w:t>
      </w:r>
      <w:r>
        <w:rPr>
          <w:rFonts w:hint="eastAsia" w:eastAsia="仿宋_GB2312"/>
          <w:color w:val="auto"/>
          <w:kern w:val="0"/>
          <w:highlight w:val="none"/>
          <w:lang w:eastAsia="zh-CN"/>
        </w:rPr>
        <w:t>“</w:t>
      </w:r>
      <w:r>
        <w:rPr>
          <w:rFonts w:hint="eastAsia" w:eastAsia="仿宋_GB2312"/>
          <w:color w:val="auto"/>
          <w:kern w:val="0"/>
          <w:highlight w:val="none"/>
        </w:rPr>
        <w:t>红十字生命接力</w:t>
      </w:r>
      <w:r>
        <w:rPr>
          <w:rFonts w:hint="eastAsia" w:eastAsia="仿宋_GB2312"/>
          <w:color w:val="auto"/>
          <w:kern w:val="0"/>
          <w:highlight w:val="none"/>
          <w:lang w:eastAsia="zh-CN"/>
        </w:rPr>
        <w:t>”</w:t>
      </w:r>
      <w:r>
        <w:rPr>
          <w:rFonts w:hint="eastAsia" w:eastAsia="仿宋_GB2312"/>
          <w:color w:val="auto"/>
          <w:kern w:val="0"/>
          <w:highlight w:val="none"/>
        </w:rPr>
        <w:t>品牌，提高遗体和人体器官捐献工作法制化、规范化水平。汇聚人道资源，建立稳定增长的筹资机制。加强红十字理论研究，传播红十字文化，推动红十字事业持续健康发展。</w:t>
      </w:r>
    </w:p>
    <w:tbl>
      <w:tblPr>
        <w:tblStyle w:val="17"/>
        <w:tblpPr w:leftFromText="180" w:rightFromText="180" w:vertAnchor="text" w:horzAnchor="page" w:tblpX="1760" w:tblpY="50"/>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24AA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0" w:type="dxa"/>
          </w:tcPr>
          <w:p w14:paraId="1FB87978">
            <w:pPr>
              <w:spacing w:line="360" w:lineRule="exact"/>
              <w:jc w:val="center"/>
              <w:rPr>
                <w:color w:val="auto"/>
                <w:sz w:val="24"/>
                <w:szCs w:val="24"/>
                <w:highlight w:val="none"/>
              </w:rPr>
            </w:pPr>
            <w:r>
              <w:rPr>
                <w:rFonts w:hint="eastAsia" w:eastAsia="黑体"/>
                <w:bCs/>
                <w:color w:val="auto"/>
                <w:sz w:val="24"/>
                <w:szCs w:val="24"/>
                <w:highlight w:val="none"/>
              </w:rPr>
              <w:t>专栏</w:t>
            </w:r>
            <w:r>
              <w:rPr>
                <w:rFonts w:eastAsia="黑体"/>
                <w:bCs/>
                <w:color w:val="auto"/>
                <w:sz w:val="24"/>
                <w:szCs w:val="24"/>
                <w:highlight w:val="none"/>
              </w:rPr>
              <w:t>1</w:t>
            </w:r>
            <w:r>
              <w:rPr>
                <w:rFonts w:hint="eastAsia" w:eastAsia="黑体"/>
                <w:bCs/>
                <w:color w:val="auto"/>
                <w:sz w:val="24"/>
                <w:szCs w:val="24"/>
                <w:highlight w:val="none"/>
                <w:lang w:val="en-US" w:eastAsia="zh-CN"/>
              </w:rPr>
              <w:t>0</w:t>
            </w:r>
            <w:r>
              <w:rPr>
                <w:rFonts w:hint="eastAsia" w:eastAsia="黑体"/>
                <w:bCs/>
                <w:color w:val="auto"/>
                <w:sz w:val="24"/>
                <w:szCs w:val="24"/>
                <w:highlight w:val="none"/>
              </w:rPr>
              <w:t>：公共服务建设</w:t>
            </w:r>
          </w:p>
        </w:tc>
      </w:tr>
      <w:tr w14:paraId="1E3E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000" w:type="dxa"/>
          </w:tcPr>
          <w:p w14:paraId="1052CC01">
            <w:pPr>
              <w:spacing w:line="320" w:lineRule="exact"/>
              <w:ind w:firstLine="482" w:firstLineChars="200"/>
              <w:rPr>
                <w:rFonts w:eastAsia="宋体"/>
                <w:bCs/>
                <w:color w:val="auto"/>
                <w:sz w:val="21"/>
                <w:szCs w:val="21"/>
                <w:highlight w:val="none"/>
              </w:rPr>
            </w:pPr>
            <w:r>
              <w:rPr>
                <w:rFonts w:eastAsia="宋体"/>
                <w:b/>
                <w:color w:val="auto"/>
                <w:sz w:val="24"/>
                <w:szCs w:val="24"/>
                <w:highlight w:val="none"/>
              </w:rPr>
              <w:t>1</w:t>
            </w:r>
            <w:r>
              <w:rPr>
                <w:rFonts w:eastAsia="宋体"/>
                <w:b/>
                <w:color w:val="auto"/>
                <w:sz w:val="21"/>
                <w:szCs w:val="21"/>
                <w:highlight w:val="none"/>
              </w:rPr>
              <w:t>.</w:t>
            </w:r>
            <w:r>
              <w:rPr>
                <w:rFonts w:hint="eastAsia" w:eastAsia="宋体"/>
                <w:b/>
                <w:color w:val="auto"/>
                <w:sz w:val="21"/>
                <w:szCs w:val="21"/>
                <w:highlight w:val="none"/>
              </w:rPr>
              <w:t>就业。</w:t>
            </w:r>
            <w:r>
              <w:rPr>
                <w:rFonts w:hint="eastAsia" w:eastAsia="宋体"/>
                <w:bCs/>
                <w:color w:val="auto"/>
                <w:sz w:val="21"/>
                <w:szCs w:val="21"/>
                <w:highlight w:val="none"/>
              </w:rPr>
              <w:t>秦皇岛职业技术学院综合实训中心、市职业技能公共实训基地各县区分中心、中秦兴龙产教融合实训基地、抚宁区高新技术产业孵化基地、昌黎县职教产业园区。</w:t>
            </w:r>
          </w:p>
          <w:p w14:paraId="54BD4109">
            <w:pPr>
              <w:pStyle w:val="9"/>
              <w:spacing w:after="0" w:line="320" w:lineRule="exact"/>
              <w:ind w:left="0" w:leftChars="0" w:firstLine="422" w:firstLineChars="200"/>
              <w:rPr>
                <w:bCs/>
                <w:color w:val="auto"/>
                <w:kern w:val="2"/>
                <w:sz w:val="21"/>
                <w:szCs w:val="21"/>
                <w:highlight w:val="none"/>
              </w:rPr>
            </w:pPr>
            <w:r>
              <w:rPr>
                <w:b/>
                <w:color w:val="auto"/>
                <w:kern w:val="2"/>
                <w:sz w:val="21"/>
                <w:szCs w:val="21"/>
                <w:highlight w:val="none"/>
              </w:rPr>
              <w:t>2.</w:t>
            </w:r>
            <w:r>
              <w:rPr>
                <w:rFonts w:hint="eastAsia"/>
                <w:b/>
                <w:color w:val="auto"/>
                <w:kern w:val="2"/>
                <w:sz w:val="21"/>
                <w:szCs w:val="21"/>
                <w:highlight w:val="none"/>
              </w:rPr>
              <w:t>教育。</w:t>
            </w:r>
            <w:r>
              <w:rPr>
                <w:rFonts w:hint="eastAsia"/>
                <w:color w:val="auto"/>
                <w:kern w:val="2"/>
                <w:sz w:val="21"/>
                <w:szCs w:val="21"/>
                <w:highlight w:val="none"/>
              </w:rPr>
              <w:t>东北大学（秦皇岛）新校区、</w:t>
            </w:r>
            <w:r>
              <w:rPr>
                <w:rFonts w:hint="eastAsia"/>
                <w:bCs/>
                <w:color w:val="auto"/>
                <w:kern w:val="2"/>
                <w:sz w:val="21"/>
                <w:szCs w:val="21"/>
                <w:highlight w:val="none"/>
              </w:rPr>
              <w:t>北戴河医学院、秦皇岛职业技术大学、河北对外经贸职业学院宿舍楼、市第三中学生活楼、市实验中学宿舍楼、市第五中学综合楼、北部高中、山海关一中整体搬迁；建设中小学及幼儿园</w:t>
            </w:r>
            <w:r>
              <w:rPr>
                <w:bCs/>
                <w:color w:val="auto"/>
                <w:kern w:val="2"/>
                <w:sz w:val="21"/>
                <w:szCs w:val="21"/>
                <w:highlight w:val="none"/>
              </w:rPr>
              <w:t>46</w:t>
            </w:r>
            <w:r>
              <w:rPr>
                <w:rFonts w:hint="eastAsia"/>
                <w:bCs/>
                <w:color w:val="auto"/>
                <w:kern w:val="2"/>
                <w:sz w:val="21"/>
                <w:szCs w:val="21"/>
                <w:highlight w:val="none"/>
              </w:rPr>
              <w:t>所，其中海港区</w:t>
            </w:r>
            <w:r>
              <w:rPr>
                <w:bCs/>
                <w:color w:val="auto"/>
                <w:kern w:val="2"/>
                <w:sz w:val="21"/>
                <w:szCs w:val="21"/>
                <w:highlight w:val="none"/>
              </w:rPr>
              <w:t>18</w:t>
            </w:r>
            <w:r>
              <w:rPr>
                <w:rFonts w:hint="eastAsia"/>
                <w:bCs/>
                <w:color w:val="auto"/>
                <w:kern w:val="2"/>
                <w:sz w:val="21"/>
                <w:szCs w:val="21"/>
                <w:highlight w:val="none"/>
              </w:rPr>
              <w:t>所、北戴河区</w:t>
            </w:r>
            <w:r>
              <w:rPr>
                <w:bCs/>
                <w:color w:val="auto"/>
                <w:kern w:val="2"/>
                <w:sz w:val="21"/>
                <w:szCs w:val="21"/>
                <w:highlight w:val="none"/>
              </w:rPr>
              <w:t>7</w:t>
            </w:r>
            <w:r>
              <w:rPr>
                <w:rFonts w:hint="eastAsia"/>
                <w:bCs/>
                <w:color w:val="auto"/>
                <w:kern w:val="2"/>
                <w:sz w:val="21"/>
                <w:szCs w:val="21"/>
                <w:highlight w:val="none"/>
              </w:rPr>
              <w:t>所、山海关区</w:t>
            </w:r>
            <w:r>
              <w:rPr>
                <w:bCs/>
                <w:color w:val="auto"/>
                <w:kern w:val="2"/>
                <w:sz w:val="21"/>
                <w:szCs w:val="21"/>
                <w:highlight w:val="none"/>
              </w:rPr>
              <w:t>1</w:t>
            </w:r>
            <w:r>
              <w:rPr>
                <w:rFonts w:hint="eastAsia"/>
                <w:bCs/>
                <w:color w:val="auto"/>
                <w:kern w:val="2"/>
                <w:sz w:val="21"/>
                <w:szCs w:val="21"/>
                <w:highlight w:val="none"/>
              </w:rPr>
              <w:t>所、抚宁区</w:t>
            </w:r>
            <w:r>
              <w:rPr>
                <w:bCs/>
                <w:color w:val="auto"/>
                <w:kern w:val="2"/>
                <w:sz w:val="21"/>
                <w:szCs w:val="21"/>
                <w:highlight w:val="none"/>
              </w:rPr>
              <w:t>2</w:t>
            </w:r>
            <w:r>
              <w:rPr>
                <w:rFonts w:hint="eastAsia"/>
                <w:bCs/>
                <w:color w:val="auto"/>
                <w:kern w:val="2"/>
                <w:sz w:val="21"/>
                <w:szCs w:val="21"/>
                <w:highlight w:val="none"/>
              </w:rPr>
              <w:t>所、昌黎县</w:t>
            </w:r>
            <w:r>
              <w:rPr>
                <w:bCs/>
                <w:color w:val="auto"/>
                <w:kern w:val="2"/>
                <w:sz w:val="21"/>
                <w:szCs w:val="21"/>
                <w:highlight w:val="none"/>
              </w:rPr>
              <w:t>6</w:t>
            </w:r>
            <w:r>
              <w:rPr>
                <w:rFonts w:hint="eastAsia"/>
                <w:bCs/>
                <w:color w:val="auto"/>
                <w:kern w:val="2"/>
                <w:sz w:val="21"/>
                <w:szCs w:val="21"/>
                <w:highlight w:val="none"/>
              </w:rPr>
              <w:t>所、卢龙县</w:t>
            </w:r>
            <w:r>
              <w:rPr>
                <w:bCs/>
                <w:color w:val="auto"/>
                <w:kern w:val="2"/>
                <w:sz w:val="21"/>
                <w:szCs w:val="21"/>
                <w:highlight w:val="none"/>
              </w:rPr>
              <w:t>6</w:t>
            </w:r>
            <w:r>
              <w:rPr>
                <w:rFonts w:hint="eastAsia"/>
                <w:bCs/>
                <w:color w:val="auto"/>
                <w:kern w:val="2"/>
                <w:sz w:val="21"/>
                <w:szCs w:val="21"/>
                <w:highlight w:val="none"/>
              </w:rPr>
              <w:t>所、</w:t>
            </w:r>
            <w:r>
              <w:rPr>
                <w:rFonts w:hint="eastAsia"/>
                <w:bCs/>
                <w:color w:val="auto"/>
                <w:kern w:val="2"/>
                <w:sz w:val="21"/>
                <w:szCs w:val="21"/>
                <w:highlight w:val="none"/>
                <w:lang w:eastAsia="zh-CN"/>
              </w:rPr>
              <w:t>青龙满族自治县</w:t>
            </w:r>
            <w:r>
              <w:rPr>
                <w:bCs/>
                <w:color w:val="auto"/>
                <w:kern w:val="2"/>
                <w:sz w:val="21"/>
                <w:szCs w:val="21"/>
                <w:highlight w:val="none"/>
              </w:rPr>
              <w:t>3</w:t>
            </w:r>
            <w:r>
              <w:rPr>
                <w:rFonts w:hint="eastAsia"/>
                <w:bCs/>
                <w:color w:val="auto"/>
                <w:kern w:val="2"/>
                <w:sz w:val="21"/>
                <w:szCs w:val="21"/>
                <w:highlight w:val="none"/>
              </w:rPr>
              <w:t>所、北戴河新区</w:t>
            </w:r>
            <w:r>
              <w:rPr>
                <w:bCs/>
                <w:color w:val="auto"/>
                <w:kern w:val="2"/>
                <w:sz w:val="21"/>
                <w:szCs w:val="21"/>
                <w:highlight w:val="none"/>
              </w:rPr>
              <w:t>3</w:t>
            </w:r>
            <w:r>
              <w:rPr>
                <w:rFonts w:hint="eastAsia"/>
                <w:bCs/>
                <w:color w:val="auto"/>
                <w:kern w:val="2"/>
                <w:sz w:val="21"/>
                <w:szCs w:val="21"/>
                <w:highlight w:val="none"/>
              </w:rPr>
              <w:t>所。</w:t>
            </w:r>
          </w:p>
          <w:p w14:paraId="267E2CCE">
            <w:pPr>
              <w:spacing w:line="320" w:lineRule="exact"/>
              <w:ind w:firstLine="422" w:firstLineChars="200"/>
              <w:rPr>
                <w:rFonts w:eastAsia="宋体"/>
                <w:bCs/>
                <w:color w:val="auto"/>
                <w:sz w:val="21"/>
                <w:szCs w:val="21"/>
                <w:highlight w:val="none"/>
              </w:rPr>
            </w:pPr>
            <w:r>
              <w:rPr>
                <w:rFonts w:eastAsia="宋体"/>
                <w:b/>
                <w:color w:val="auto"/>
                <w:sz w:val="21"/>
                <w:szCs w:val="21"/>
                <w:highlight w:val="none"/>
              </w:rPr>
              <w:t>3.</w:t>
            </w:r>
            <w:r>
              <w:rPr>
                <w:rFonts w:hint="eastAsia" w:eastAsia="宋体"/>
                <w:b/>
                <w:color w:val="auto"/>
                <w:sz w:val="21"/>
                <w:szCs w:val="21"/>
                <w:highlight w:val="none"/>
              </w:rPr>
              <w:t>体育。</w:t>
            </w:r>
            <w:r>
              <w:rPr>
                <w:rFonts w:hint="eastAsia" w:eastAsia="宋体"/>
                <w:bCs/>
                <w:color w:val="auto"/>
                <w:sz w:val="21"/>
                <w:szCs w:val="21"/>
                <w:highlight w:val="none"/>
              </w:rPr>
              <w:t>市体育综合体、市全民建身中心、体育产业园</w:t>
            </w:r>
            <w:r>
              <w:rPr>
                <w:rFonts w:hint="eastAsia" w:eastAsia="宋体"/>
                <w:bCs/>
                <w:color w:val="auto"/>
                <w:sz w:val="21"/>
                <w:szCs w:val="21"/>
                <w:highlight w:val="none"/>
                <w:lang w:eastAsia="zh-CN"/>
              </w:rPr>
              <w:t>、</w:t>
            </w:r>
            <w:r>
              <w:rPr>
                <w:rFonts w:hint="eastAsia" w:eastAsia="宋体"/>
                <w:bCs/>
                <w:color w:val="auto"/>
                <w:sz w:val="21"/>
                <w:szCs w:val="21"/>
                <w:highlight w:val="none"/>
              </w:rPr>
              <w:t>海港区体育场馆、抚宁区全民健身中心、抚宁区体育公园、开发区体育馆、昌黎县全民健身中心、</w:t>
            </w:r>
            <w:r>
              <w:rPr>
                <w:rFonts w:hint="eastAsia" w:eastAsia="宋体"/>
                <w:bCs/>
                <w:color w:val="auto"/>
                <w:sz w:val="21"/>
                <w:szCs w:val="21"/>
                <w:highlight w:val="none"/>
                <w:lang w:eastAsia="zh-CN"/>
              </w:rPr>
              <w:t>青龙满族自治县</w:t>
            </w:r>
            <w:r>
              <w:rPr>
                <w:rFonts w:hint="eastAsia" w:eastAsia="宋体"/>
                <w:bCs/>
                <w:color w:val="auto"/>
                <w:sz w:val="21"/>
                <w:szCs w:val="21"/>
                <w:highlight w:val="none"/>
              </w:rPr>
              <w:t>标准</w:t>
            </w:r>
            <w:r>
              <w:rPr>
                <w:rFonts w:eastAsia="宋体"/>
                <w:bCs/>
                <w:color w:val="auto"/>
                <w:sz w:val="21"/>
                <w:szCs w:val="21"/>
                <w:highlight w:val="none"/>
              </w:rPr>
              <w:t>400</w:t>
            </w:r>
            <w:r>
              <w:rPr>
                <w:rFonts w:hint="eastAsia" w:eastAsia="宋体"/>
                <w:bCs/>
                <w:color w:val="auto"/>
                <w:sz w:val="21"/>
                <w:szCs w:val="21"/>
                <w:highlight w:val="none"/>
              </w:rPr>
              <w:t>米跑道体育场及配套设施、</w:t>
            </w:r>
            <w:r>
              <w:rPr>
                <w:rFonts w:hint="eastAsia" w:eastAsia="宋体"/>
                <w:bCs/>
                <w:color w:val="auto"/>
                <w:sz w:val="21"/>
                <w:szCs w:val="21"/>
                <w:highlight w:val="none"/>
                <w:lang w:eastAsia="zh-CN"/>
              </w:rPr>
              <w:t>青龙满族自治县</w:t>
            </w:r>
            <w:r>
              <w:rPr>
                <w:rFonts w:hint="eastAsia" w:eastAsia="宋体"/>
                <w:bCs/>
                <w:color w:val="auto"/>
                <w:sz w:val="21"/>
                <w:szCs w:val="21"/>
                <w:highlight w:val="none"/>
              </w:rPr>
              <w:t>陀螺和蹴球场。</w:t>
            </w:r>
          </w:p>
          <w:p w14:paraId="6BB82595">
            <w:pPr>
              <w:spacing w:line="320" w:lineRule="exact"/>
              <w:ind w:firstLine="422" w:firstLineChars="200"/>
              <w:rPr>
                <w:rFonts w:eastAsia="宋体"/>
                <w:bCs/>
                <w:color w:val="auto"/>
                <w:sz w:val="21"/>
                <w:szCs w:val="21"/>
                <w:highlight w:val="none"/>
              </w:rPr>
            </w:pPr>
            <w:r>
              <w:rPr>
                <w:rFonts w:eastAsia="宋体"/>
                <w:b/>
                <w:color w:val="auto"/>
                <w:sz w:val="21"/>
                <w:szCs w:val="21"/>
                <w:highlight w:val="none"/>
              </w:rPr>
              <w:t>4.</w:t>
            </w:r>
            <w:r>
              <w:rPr>
                <w:rFonts w:hint="eastAsia" w:eastAsia="宋体"/>
                <w:b/>
                <w:color w:val="auto"/>
                <w:sz w:val="21"/>
                <w:szCs w:val="21"/>
                <w:highlight w:val="none"/>
              </w:rPr>
              <w:t>医疗。</w:t>
            </w:r>
            <w:r>
              <w:rPr>
                <w:rFonts w:hint="eastAsia" w:eastAsia="宋体"/>
                <w:bCs/>
                <w:color w:val="auto"/>
                <w:sz w:val="21"/>
                <w:szCs w:val="21"/>
                <w:highlight w:val="none"/>
              </w:rPr>
              <w:t>北京大学第三医院秦皇岛医院、北戴河心脑血管病医院、市第一医院创伤医学中心、市第一医院重大疫情救治基地、市妇幼保健院儿童院区、市肿瘤医疗中心（市第四医院）、市老年病专科医院、市第二医院广济协和医院、市第二医院病房楼、市工人医院门诊康复综合楼、市中医医院医用综合楼、市云影像中心、市中医药产业基地建设及市第三医院、市疾病预防控制中心迁建；县区医疗卫生服务建设项目</w:t>
            </w:r>
            <w:r>
              <w:rPr>
                <w:rFonts w:eastAsia="宋体"/>
                <w:bCs/>
                <w:color w:val="auto"/>
                <w:sz w:val="21"/>
                <w:szCs w:val="21"/>
                <w:highlight w:val="none"/>
              </w:rPr>
              <w:t>23</w:t>
            </w:r>
            <w:r>
              <w:rPr>
                <w:rFonts w:hint="eastAsia" w:eastAsia="宋体"/>
                <w:bCs/>
                <w:color w:val="auto"/>
                <w:sz w:val="21"/>
                <w:szCs w:val="21"/>
                <w:highlight w:val="none"/>
              </w:rPr>
              <w:t>项，其中海港区</w:t>
            </w:r>
            <w:r>
              <w:rPr>
                <w:rFonts w:eastAsia="宋体"/>
                <w:bCs/>
                <w:color w:val="auto"/>
                <w:sz w:val="21"/>
                <w:szCs w:val="21"/>
                <w:highlight w:val="none"/>
              </w:rPr>
              <w:t>7</w:t>
            </w:r>
            <w:r>
              <w:rPr>
                <w:rFonts w:hint="eastAsia" w:eastAsia="宋体"/>
                <w:bCs/>
                <w:color w:val="auto"/>
                <w:sz w:val="21"/>
                <w:szCs w:val="21"/>
                <w:highlight w:val="none"/>
              </w:rPr>
              <w:t>项、北戴河区</w:t>
            </w:r>
            <w:r>
              <w:rPr>
                <w:rFonts w:eastAsia="宋体"/>
                <w:bCs/>
                <w:color w:val="auto"/>
                <w:sz w:val="21"/>
                <w:szCs w:val="21"/>
                <w:highlight w:val="none"/>
              </w:rPr>
              <w:t>4</w:t>
            </w:r>
            <w:r>
              <w:rPr>
                <w:rFonts w:hint="eastAsia" w:eastAsia="宋体"/>
                <w:bCs/>
                <w:color w:val="auto"/>
                <w:sz w:val="21"/>
                <w:szCs w:val="21"/>
                <w:highlight w:val="none"/>
              </w:rPr>
              <w:t>项、山海关区</w:t>
            </w:r>
            <w:r>
              <w:rPr>
                <w:rFonts w:eastAsia="宋体"/>
                <w:bCs/>
                <w:color w:val="auto"/>
                <w:sz w:val="21"/>
                <w:szCs w:val="21"/>
                <w:highlight w:val="none"/>
              </w:rPr>
              <w:t>1</w:t>
            </w:r>
            <w:r>
              <w:rPr>
                <w:rFonts w:hint="eastAsia" w:eastAsia="宋体"/>
                <w:bCs/>
                <w:color w:val="auto"/>
                <w:sz w:val="21"/>
                <w:szCs w:val="21"/>
                <w:highlight w:val="none"/>
              </w:rPr>
              <w:t>项、抚宁区</w:t>
            </w:r>
            <w:r>
              <w:rPr>
                <w:rFonts w:eastAsia="宋体"/>
                <w:bCs/>
                <w:color w:val="auto"/>
                <w:sz w:val="21"/>
                <w:szCs w:val="21"/>
                <w:highlight w:val="none"/>
              </w:rPr>
              <w:t>1</w:t>
            </w:r>
            <w:r>
              <w:rPr>
                <w:rFonts w:hint="eastAsia" w:eastAsia="宋体"/>
                <w:bCs/>
                <w:color w:val="auto"/>
                <w:sz w:val="21"/>
                <w:szCs w:val="21"/>
                <w:highlight w:val="none"/>
              </w:rPr>
              <w:t>项、昌黎县</w:t>
            </w:r>
            <w:r>
              <w:rPr>
                <w:rFonts w:eastAsia="宋体"/>
                <w:bCs/>
                <w:color w:val="auto"/>
                <w:sz w:val="21"/>
                <w:szCs w:val="21"/>
                <w:highlight w:val="none"/>
              </w:rPr>
              <w:t>2</w:t>
            </w:r>
            <w:r>
              <w:rPr>
                <w:rFonts w:hint="eastAsia" w:eastAsia="宋体"/>
                <w:bCs/>
                <w:color w:val="auto"/>
                <w:sz w:val="21"/>
                <w:szCs w:val="21"/>
                <w:highlight w:val="none"/>
              </w:rPr>
              <w:t>项、卢龙县</w:t>
            </w:r>
            <w:r>
              <w:rPr>
                <w:rFonts w:eastAsia="宋体"/>
                <w:bCs/>
                <w:color w:val="auto"/>
                <w:sz w:val="21"/>
                <w:szCs w:val="21"/>
                <w:highlight w:val="none"/>
              </w:rPr>
              <w:t>4</w:t>
            </w:r>
            <w:r>
              <w:rPr>
                <w:rFonts w:hint="eastAsia" w:eastAsia="宋体"/>
                <w:bCs/>
                <w:color w:val="auto"/>
                <w:sz w:val="21"/>
                <w:szCs w:val="21"/>
                <w:highlight w:val="none"/>
              </w:rPr>
              <w:t>项、</w:t>
            </w:r>
            <w:r>
              <w:rPr>
                <w:rFonts w:hint="eastAsia" w:eastAsia="宋体"/>
                <w:bCs/>
                <w:color w:val="auto"/>
                <w:sz w:val="21"/>
                <w:szCs w:val="21"/>
                <w:highlight w:val="none"/>
                <w:lang w:eastAsia="zh-CN"/>
              </w:rPr>
              <w:t>青龙满族自治县</w:t>
            </w:r>
            <w:r>
              <w:rPr>
                <w:rFonts w:eastAsia="宋体"/>
                <w:bCs/>
                <w:color w:val="auto"/>
                <w:sz w:val="21"/>
                <w:szCs w:val="21"/>
                <w:highlight w:val="none"/>
              </w:rPr>
              <w:t>3</w:t>
            </w:r>
            <w:r>
              <w:rPr>
                <w:rFonts w:hint="eastAsia" w:eastAsia="宋体"/>
                <w:bCs/>
                <w:color w:val="auto"/>
                <w:sz w:val="21"/>
                <w:szCs w:val="21"/>
                <w:highlight w:val="none"/>
              </w:rPr>
              <w:t>项、北戴河新区</w:t>
            </w:r>
            <w:r>
              <w:rPr>
                <w:rFonts w:eastAsia="宋体"/>
                <w:bCs/>
                <w:color w:val="auto"/>
                <w:sz w:val="21"/>
                <w:szCs w:val="21"/>
                <w:highlight w:val="none"/>
              </w:rPr>
              <w:t>1</w:t>
            </w:r>
            <w:r>
              <w:rPr>
                <w:rFonts w:hint="eastAsia" w:eastAsia="宋体"/>
                <w:bCs/>
                <w:color w:val="auto"/>
                <w:sz w:val="21"/>
                <w:szCs w:val="21"/>
                <w:highlight w:val="none"/>
              </w:rPr>
              <w:t>项。</w:t>
            </w:r>
          </w:p>
          <w:p w14:paraId="7B208187">
            <w:pPr>
              <w:spacing w:line="320" w:lineRule="exact"/>
              <w:ind w:firstLine="422" w:firstLineChars="200"/>
              <w:rPr>
                <w:color w:val="auto"/>
                <w:highlight w:val="none"/>
              </w:rPr>
            </w:pPr>
            <w:r>
              <w:rPr>
                <w:rFonts w:eastAsia="宋体"/>
                <w:b/>
                <w:color w:val="auto"/>
                <w:sz w:val="21"/>
                <w:szCs w:val="21"/>
                <w:highlight w:val="none"/>
              </w:rPr>
              <w:t>5.</w:t>
            </w:r>
            <w:r>
              <w:rPr>
                <w:rFonts w:hint="eastAsia" w:eastAsia="宋体"/>
                <w:b/>
                <w:color w:val="auto"/>
                <w:sz w:val="21"/>
                <w:szCs w:val="21"/>
                <w:highlight w:val="none"/>
              </w:rPr>
              <w:t>民政。</w:t>
            </w:r>
            <w:r>
              <w:rPr>
                <w:rFonts w:hint="eastAsia" w:eastAsia="宋体"/>
                <w:bCs/>
                <w:color w:val="auto"/>
                <w:sz w:val="21"/>
                <w:szCs w:val="21"/>
                <w:highlight w:val="none"/>
              </w:rPr>
              <w:t>市精神卫生社会福利中心、市殡仪馆迁建；</w:t>
            </w:r>
            <w:r>
              <w:rPr>
                <w:rFonts w:hint="eastAsia" w:eastAsia="宋体"/>
                <w:bCs/>
                <w:color w:val="auto"/>
                <w:sz w:val="21"/>
                <w:szCs w:val="21"/>
                <w:highlight w:val="none"/>
                <w:lang w:eastAsia="zh-CN"/>
              </w:rPr>
              <w:t>县区</w:t>
            </w:r>
            <w:r>
              <w:rPr>
                <w:rFonts w:hint="eastAsia" w:eastAsia="宋体"/>
                <w:bCs/>
                <w:color w:val="auto"/>
                <w:sz w:val="21"/>
                <w:szCs w:val="21"/>
                <w:highlight w:val="none"/>
              </w:rPr>
              <w:t>养老院、儿童福利院、殡仪馆、公墓等社会福利建设项目</w:t>
            </w:r>
            <w:r>
              <w:rPr>
                <w:rFonts w:eastAsia="宋体"/>
                <w:bCs/>
                <w:color w:val="auto"/>
                <w:sz w:val="21"/>
                <w:szCs w:val="21"/>
                <w:highlight w:val="none"/>
              </w:rPr>
              <w:t>28</w:t>
            </w:r>
            <w:r>
              <w:rPr>
                <w:rFonts w:hint="eastAsia" w:eastAsia="宋体"/>
                <w:bCs/>
                <w:color w:val="auto"/>
                <w:sz w:val="21"/>
                <w:szCs w:val="21"/>
                <w:highlight w:val="none"/>
              </w:rPr>
              <w:t>项，其中海港区</w:t>
            </w:r>
            <w:r>
              <w:rPr>
                <w:rFonts w:eastAsia="宋体"/>
                <w:bCs/>
                <w:color w:val="auto"/>
                <w:sz w:val="21"/>
                <w:szCs w:val="21"/>
                <w:highlight w:val="none"/>
              </w:rPr>
              <w:t>11</w:t>
            </w:r>
            <w:r>
              <w:rPr>
                <w:rFonts w:hint="eastAsia" w:eastAsia="宋体"/>
                <w:bCs/>
                <w:color w:val="auto"/>
                <w:sz w:val="21"/>
                <w:szCs w:val="21"/>
                <w:highlight w:val="none"/>
              </w:rPr>
              <w:t>项、北戴河区</w:t>
            </w:r>
            <w:r>
              <w:rPr>
                <w:rFonts w:eastAsia="宋体"/>
                <w:bCs/>
                <w:color w:val="auto"/>
                <w:sz w:val="21"/>
                <w:szCs w:val="21"/>
                <w:highlight w:val="none"/>
              </w:rPr>
              <w:t>2</w:t>
            </w:r>
            <w:r>
              <w:rPr>
                <w:rFonts w:hint="eastAsia" w:eastAsia="宋体"/>
                <w:bCs/>
                <w:color w:val="auto"/>
                <w:sz w:val="21"/>
                <w:szCs w:val="21"/>
                <w:highlight w:val="none"/>
              </w:rPr>
              <w:t>项、山海关区</w:t>
            </w:r>
            <w:r>
              <w:rPr>
                <w:rFonts w:eastAsia="宋体"/>
                <w:bCs/>
                <w:color w:val="auto"/>
                <w:sz w:val="21"/>
                <w:szCs w:val="21"/>
                <w:highlight w:val="none"/>
              </w:rPr>
              <w:t>1</w:t>
            </w:r>
            <w:r>
              <w:rPr>
                <w:rFonts w:hint="eastAsia" w:eastAsia="宋体"/>
                <w:bCs/>
                <w:color w:val="auto"/>
                <w:sz w:val="21"/>
                <w:szCs w:val="21"/>
                <w:highlight w:val="none"/>
              </w:rPr>
              <w:t>项、抚宁区</w:t>
            </w:r>
            <w:r>
              <w:rPr>
                <w:rFonts w:eastAsia="宋体"/>
                <w:bCs/>
                <w:color w:val="auto"/>
                <w:sz w:val="21"/>
                <w:szCs w:val="21"/>
                <w:highlight w:val="none"/>
              </w:rPr>
              <w:t>2</w:t>
            </w:r>
            <w:r>
              <w:rPr>
                <w:rFonts w:hint="eastAsia" w:eastAsia="宋体"/>
                <w:bCs/>
                <w:color w:val="auto"/>
                <w:sz w:val="21"/>
                <w:szCs w:val="21"/>
                <w:highlight w:val="none"/>
              </w:rPr>
              <w:t>项、昌黎县</w:t>
            </w:r>
            <w:r>
              <w:rPr>
                <w:rFonts w:eastAsia="宋体"/>
                <w:bCs/>
                <w:color w:val="auto"/>
                <w:sz w:val="21"/>
                <w:szCs w:val="21"/>
                <w:highlight w:val="none"/>
              </w:rPr>
              <w:t>3</w:t>
            </w:r>
            <w:r>
              <w:rPr>
                <w:rFonts w:hint="eastAsia" w:eastAsia="宋体"/>
                <w:bCs/>
                <w:color w:val="auto"/>
                <w:sz w:val="21"/>
                <w:szCs w:val="21"/>
                <w:highlight w:val="none"/>
              </w:rPr>
              <w:t>项、卢龙县</w:t>
            </w:r>
            <w:r>
              <w:rPr>
                <w:rFonts w:eastAsia="宋体"/>
                <w:bCs/>
                <w:color w:val="auto"/>
                <w:sz w:val="21"/>
                <w:szCs w:val="21"/>
                <w:highlight w:val="none"/>
              </w:rPr>
              <w:t>4</w:t>
            </w:r>
            <w:r>
              <w:rPr>
                <w:rFonts w:hint="eastAsia" w:eastAsia="宋体"/>
                <w:bCs/>
                <w:color w:val="auto"/>
                <w:sz w:val="21"/>
                <w:szCs w:val="21"/>
                <w:highlight w:val="none"/>
              </w:rPr>
              <w:t>、</w:t>
            </w:r>
            <w:r>
              <w:rPr>
                <w:rFonts w:hint="eastAsia" w:eastAsia="宋体"/>
                <w:bCs/>
                <w:color w:val="auto"/>
                <w:sz w:val="21"/>
                <w:szCs w:val="21"/>
                <w:highlight w:val="none"/>
                <w:lang w:eastAsia="zh-CN"/>
              </w:rPr>
              <w:t>青龙满族自治县</w:t>
            </w:r>
            <w:r>
              <w:rPr>
                <w:rFonts w:eastAsia="宋体"/>
                <w:bCs/>
                <w:color w:val="auto"/>
                <w:sz w:val="21"/>
                <w:szCs w:val="21"/>
                <w:highlight w:val="none"/>
              </w:rPr>
              <w:t>4</w:t>
            </w:r>
            <w:r>
              <w:rPr>
                <w:rFonts w:hint="eastAsia" w:eastAsia="宋体"/>
                <w:bCs/>
                <w:color w:val="auto"/>
                <w:sz w:val="21"/>
                <w:szCs w:val="21"/>
                <w:highlight w:val="none"/>
              </w:rPr>
              <w:t>项、北戴河新区</w:t>
            </w:r>
            <w:r>
              <w:rPr>
                <w:rFonts w:eastAsia="宋体"/>
                <w:bCs/>
                <w:color w:val="auto"/>
                <w:sz w:val="21"/>
                <w:szCs w:val="21"/>
                <w:highlight w:val="none"/>
              </w:rPr>
              <w:t>1</w:t>
            </w:r>
            <w:r>
              <w:rPr>
                <w:rFonts w:hint="eastAsia" w:eastAsia="宋体"/>
                <w:bCs/>
                <w:color w:val="auto"/>
                <w:sz w:val="21"/>
                <w:szCs w:val="21"/>
                <w:highlight w:val="none"/>
              </w:rPr>
              <w:t>项。</w:t>
            </w:r>
          </w:p>
        </w:tc>
      </w:tr>
      <w:bookmarkEnd w:id="660"/>
      <w:bookmarkEnd w:id="661"/>
      <w:bookmarkEnd w:id="713"/>
      <w:bookmarkEnd w:id="714"/>
      <w:bookmarkEnd w:id="715"/>
      <w:bookmarkEnd w:id="716"/>
      <w:bookmarkEnd w:id="717"/>
    </w:tbl>
    <w:p w14:paraId="7FD3A2DA">
      <w:pPr>
        <w:rPr>
          <w:rFonts w:hint="eastAsia"/>
          <w:color w:val="auto"/>
        </w:rPr>
      </w:pPr>
      <w:bookmarkStart w:id="741" w:name="_Toc29570"/>
      <w:bookmarkStart w:id="742" w:name="_Toc17810"/>
      <w:bookmarkStart w:id="743" w:name="_Toc32677"/>
      <w:bookmarkStart w:id="744" w:name="_Toc21013"/>
      <w:bookmarkStart w:id="745" w:name="_Toc28036"/>
      <w:bookmarkStart w:id="746" w:name="_Toc6429"/>
      <w:bookmarkStart w:id="747" w:name="_Toc1169"/>
    </w:p>
    <w:p w14:paraId="4A80B529">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jc w:val="center"/>
        <w:textAlignment w:val="auto"/>
        <w:outlineLvl w:val="0"/>
        <w:rPr>
          <w:rFonts w:eastAsia="宋体"/>
          <w:b/>
          <w:color w:val="auto"/>
          <w:spacing w:val="-17"/>
          <w:sz w:val="36"/>
          <w:szCs w:val="36"/>
          <w:highlight w:val="none"/>
        </w:rPr>
      </w:pPr>
      <w:bookmarkStart w:id="748" w:name="_Toc29043"/>
      <w:r>
        <w:rPr>
          <w:rFonts w:hint="eastAsia" w:eastAsia="宋体"/>
          <w:b/>
          <w:color w:val="auto"/>
          <w:spacing w:val="-17"/>
          <w:sz w:val="36"/>
          <w:szCs w:val="36"/>
          <w:highlight w:val="none"/>
        </w:rPr>
        <w:t>第十二章　统筹发展和安全，建设更高水平的平安秦皇岛</w:t>
      </w:r>
      <w:bookmarkEnd w:id="741"/>
      <w:bookmarkEnd w:id="748"/>
    </w:p>
    <w:p w14:paraId="2D75594C">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eastAsia="仿宋_GB2312"/>
          <w:color w:val="auto"/>
          <w:kern w:val="0"/>
          <w:highlight w:val="none"/>
        </w:rPr>
      </w:pPr>
      <w:r>
        <w:rPr>
          <w:rFonts w:hint="eastAsia" w:eastAsia="仿宋_GB2312"/>
          <w:color w:val="auto"/>
          <w:kern w:val="0"/>
          <w:highlight w:val="none"/>
        </w:rPr>
        <w:t>深入贯彻总体国家安全观战略，把安全发展贯穿经济社会发展各领域全过程，深化社会治理改革，完善共建共治共享的社会治理体系，确保社会稳定、人民安定。</w:t>
      </w:r>
    </w:p>
    <w:p w14:paraId="5C10FDD1">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1"/>
        <w:rPr>
          <w:rFonts w:eastAsia="黑体"/>
          <w:color w:val="auto"/>
          <w:highlight w:val="none"/>
        </w:rPr>
      </w:pPr>
      <w:bookmarkStart w:id="749" w:name="_Toc21528"/>
      <w:bookmarkStart w:id="750" w:name="_Toc21598"/>
      <w:r>
        <w:rPr>
          <w:rFonts w:hint="eastAsia" w:eastAsia="黑体"/>
          <w:color w:val="auto"/>
          <w:highlight w:val="none"/>
        </w:rPr>
        <w:t>一、深入贯彻总体国家安全观</w:t>
      </w:r>
      <w:bookmarkEnd w:id="749"/>
      <w:bookmarkEnd w:id="750"/>
    </w:p>
    <w:p w14:paraId="7B7F9620">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eastAsia="仿宋_GB2312"/>
          <w:color w:val="auto"/>
          <w:kern w:val="0"/>
          <w:highlight w:val="none"/>
        </w:rPr>
      </w:pPr>
      <w:r>
        <w:rPr>
          <w:rFonts w:hint="eastAsia" w:eastAsia="仿宋_GB2312"/>
          <w:color w:val="auto"/>
          <w:kern w:val="0"/>
          <w:highlight w:val="none"/>
        </w:rPr>
        <w:t>完善安全发展体制机制，坚决维护国家政治安全，特别是政权安全和制度安全，统筹传统安全和非传统安全，积极稳妥防范化解重大风险，筑牢国家安全屏障。</w:t>
      </w:r>
    </w:p>
    <w:p w14:paraId="04DCDB6B">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2"/>
        <w:rPr>
          <w:b w:val="0"/>
          <w:bCs w:val="0"/>
          <w:color w:val="auto"/>
          <w:highlight w:val="none"/>
        </w:rPr>
      </w:pPr>
      <w:bookmarkStart w:id="751" w:name="_Toc5399"/>
      <w:bookmarkStart w:id="752" w:name="_Toc22250"/>
      <w:r>
        <w:rPr>
          <w:rFonts w:hint="eastAsia"/>
          <w:b w:val="0"/>
          <w:bCs w:val="0"/>
          <w:color w:val="auto"/>
          <w:highlight w:val="none"/>
        </w:rPr>
        <w:t>（一）加强国家安全体系能力建设</w:t>
      </w:r>
      <w:bookmarkEnd w:id="751"/>
      <w:bookmarkEnd w:id="752"/>
    </w:p>
    <w:p w14:paraId="3E9C3D1C">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eastAsia="仿宋_GB2312"/>
          <w:color w:val="auto"/>
          <w:kern w:val="0"/>
          <w:highlight w:val="none"/>
        </w:rPr>
      </w:pPr>
      <w:r>
        <w:rPr>
          <w:rFonts w:hint="eastAsia" w:eastAsia="仿宋_GB2312"/>
          <w:color w:val="auto"/>
          <w:kern w:val="0"/>
          <w:highlight w:val="none"/>
        </w:rPr>
        <w:t>严格落实国家安全责任制，建立健全国家安全风险研判、防控协同、防范化解机制，提高防范和抵御安全风险能力。健全国家安全审查和监管制度，加强国家安全执法，确保国家安全工作落到实处。坚定维护国家政权安全，抓好重点时期及敏感节点安全稳定，严防境外反对势</w:t>
      </w:r>
      <w:r>
        <w:rPr>
          <w:rFonts w:hint="eastAsia" w:eastAsia="仿宋_GB2312"/>
          <w:color w:val="auto"/>
          <w:kern w:val="0"/>
          <w:highlight w:val="none"/>
          <w:lang w:eastAsia="zh-CN"/>
        </w:rPr>
        <w:t>力</w:t>
      </w:r>
      <w:r>
        <w:rPr>
          <w:rFonts w:hint="eastAsia" w:eastAsia="仿宋_GB2312"/>
          <w:color w:val="auto"/>
          <w:kern w:val="0"/>
          <w:highlight w:val="none"/>
        </w:rPr>
        <w:t>和敌对势力渗透、破坏、颠覆、分裂活动。加强意识形态安全，旗帜鲜明反对和抵制错误思潮。加强情报信息建设，有效防范和坚决打击暴力恐怖活动、邪教及有害气功组织非法活动，推动国家安全宣传教育常态化长效化，增强全民国家安全意识，夯实国家安全的群众基础，巩固国家安全人民防线。</w:t>
      </w:r>
    </w:p>
    <w:p w14:paraId="17111AD4">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2"/>
        <w:rPr>
          <w:b w:val="0"/>
          <w:bCs w:val="0"/>
          <w:color w:val="auto"/>
          <w:highlight w:val="none"/>
        </w:rPr>
      </w:pPr>
      <w:bookmarkStart w:id="753" w:name="_Toc612"/>
      <w:bookmarkStart w:id="754" w:name="_Toc21489"/>
      <w:r>
        <w:rPr>
          <w:rFonts w:hint="eastAsia"/>
          <w:b w:val="0"/>
          <w:bCs w:val="0"/>
          <w:color w:val="auto"/>
          <w:highlight w:val="none"/>
        </w:rPr>
        <w:t>（二）确保经济安全</w:t>
      </w:r>
      <w:bookmarkEnd w:id="753"/>
      <w:bookmarkEnd w:id="754"/>
    </w:p>
    <w:p w14:paraId="3F2989E0">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eastAsia="仿宋_GB2312"/>
          <w:color w:val="auto"/>
          <w:kern w:val="0"/>
          <w:highlight w:val="none"/>
        </w:rPr>
      </w:pPr>
      <w:r>
        <w:rPr>
          <w:rFonts w:hint="eastAsia" w:eastAsia="仿宋_GB2312"/>
          <w:color w:val="auto"/>
          <w:kern w:val="0"/>
          <w:highlight w:val="none"/>
        </w:rPr>
        <w:t>确保粮食安全，加快建设粮食生产功能区和特色农产品优势区，建立健全粮食产购储加销体系，完善粮食储备管理体制、运行机制，开展粮食节约行动，增强粮食和重要农产品供应储备保障能力。加强政府财政预算收支管理，按计划高质量化解政府债务、隐性债务，严格规范政府举债融资行为，严防政府债务风险。保障金融安全，大力整治非法集资、高杠杆、资金链担保链风险、逃废债和互联网金融风险，健全地方金融监管机制，守住不发生系统性金融风险底线。维护水利、电力、供水、油气、交通、通信等重要基础设施安全。维护产业链供应链安全，着力提升产业基础能力和产业链水平，增强产业体系抗冲击能力。建立健全生态环境风险防范体系，防控重点领域生态环境风险，提升突发环境事件应急处置能力。强化生物安全保护，维护新型领域安全。</w:t>
      </w:r>
    </w:p>
    <w:p w14:paraId="71984BC4">
      <w:pPr>
        <w:keepNext w:val="0"/>
        <w:keepLines w:val="0"/>
        <w:pageBreakBefore w:val="0"/>
        <w:widowControl w:val="0"/>
        <w:kinsoku/>
        <w:wordWrap/>
        <w:overflowPunct/>
        <w:topLinePunct w:val="0"/>
        <w:autoSpaceDE/>
        <w:autoSpaceDN/>
        <w:bidi w:val="0"/>
        <w:adjustRightInd/>
        <w:snapToGrid/>
        <w:spacing w:line="560" w:lineRule="exact"/>
        <w:ind w:firstLine="630"/>
        <w:textAlignment w:val="auto"/>
        <w:outlineLvl w:val="2"/>
        <w:rPr>
          <w:b w:val="0"/>
          <w:bCs w:val="0"/>
          <w:color w:val="auto"/>
          <w:highlight w:val="none"/>
        </w:rPr>
      </w:pPr>
      <w:bookmarkStart w:id="755" w:name="_Toc21378"/>
      <w:bookmarkStart w:id="756" w:name="_Toc1936"/>
      <w:r>
        <w:rPr>
          <w:rFonts w:hint="eastAsia"/>
          <w:b w:val="0"/>
          <w:bCs w:val="0"/>
          <w:color w:val="auto"/>
          <w:highlight w:val="none"/>
        </w:rPr>
        <w:t>（三）保障网络安全</w:t>
      </w:r>
      <w:bookmarkEnd w:id="755"/>
      <w:bookmarkEnd w:id="756"/>
    </w:p>
    <w:p w14:paraId="45B57B50">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eastAsia="仿宋_GB2312"/>
          <w:color w:val="auto"/>
          <w:kern w:val="0"/>
          <w:highlight w:val="none"/>
        </w:rPr>
      </w:pPr>
      <w:r>
        <w:rPr>
          <w:rFonts w:hint="eastAsia" w:eastAsia="仿宋_GB2312"/>
          <w:color w:val="auto"/>
          <w:kern w:val="0"/>
          <w:highlight w:val="none"/>
        </w:rPr>
        <w:t>建立健全科学完善的网络安全保障体系，形成全市</w:t>
      </w:r>
      <w:r>
        <w:rPr>
          <w:rFonts w:hint="eastAsia" w:eastAsia="仿宋_GB2312"/>
          <w:color w:val="auto"/>
          <w:kern w:val="0"/>
          <w:highlight w:val="none"/>
          <w:lang w:eastAsia="zh-CN"/>
        </w:rPr>
        <w:t>“</w:t>
      </w:r>
      <w:r>
        <w:rPr>
          <w:rFonts w:hint="eastAsia" w:eastAsia="仿宋_GB2312"/>
          <w:color w:val="auto"/>
          <w:kern w:val="0"/>
          <w:highlight w:val="none"/>
        </w:rPr>
        <w:t>一盘棋</w:t>
      </w:r>
      <w:r>
        <w:rPr>
          <w:rFonts w:hint="eastAsia" w:eastAsia="仿宋_GB2312"/>
          <w:color w:val="auto"/>
          <w:kern w:val="0"/>
          <w:highlight w:val="none"/>
          <w:lang w:eastAsia="zh-CN"/>
        </w:rPr>
        <w:t>”</w:t>
      </w:r>
      <w:r>
        <w:rPr>
          <w:rFonts w:hint="eastAsia" w:eastAsia="仿宋_GB2312"/>
          <w:color w:val="auto"/>
          <w:kern w:val="0"/>
          <w:highlight w:val="none"/>
        </w:rPr>
        <w:t>网络安全工作格局。完善网络安全管理制度，开展网络安全考核评价。加快网络安全标准体系建设，加强关键信息基础设施、网站、数据安全、个人信息安全等保障。建立健全数据安全管理制度，开展</w:t>
      </w:r>
      <w:r>
        <w:rPr>
          <w:rFonts w:eastAsia="仿宋_GB2312"/>
          <w:color w:val="auto"/>
          <w:kern w:val="0"/>
          <w:highlight w:val="none"/>
        </w:rPr>
        <w:t>APP</w:t>
      </w:r>
      <w:r>
        <w:rPr>
          <w:rFonts w:hint="eastAsia" w:eastAsia="仿宋_GB2312"/>
          <w:color w:val="auto"/>
          <w:kern w:val="0"/>
          <w:highlight w:val="none"/>
        </w:rPr>
        <w:t>违法违规采集、存储和个人信息专项治理行动。加强网络空间防护能力和监管手段能力建设。</w:t>
      </w:r>
    </w:p>
    <w:p w14:paraId="185DA9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b w:val="0"/>
          <w:bCs w:val="0"/>
          <w:color w:val="auto"/>
          <w:highlight w:val="none"/>
        </w:rPr>
      </w:pPr>
      <w:bookmarkStart w:id="757" w:name="_Toc14063"/>
      <w:bookmarkStart w:id="758" w:name="_Toc8931"/>
      <w:r>
        <w:rPr>
          <w:rFonts w:hint="eastAsia"/>
          <w:b w:val="0"/>
          <w:bCs w:val="0"/>
          <w:color w:val="auto"/>
          <w:highlight w:val="none"/>
        </w:rPr>
        <w:t>（四）推动经济建设与国防建设协调发展</w:t>
      </w:r>
      <w:bookmarkEnd w:id="757"/>
      <w:bookmarkEnd w:id="758"/>
    </w:p>
    <w:p w14:paraId="444691C7">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eastAsia="仿宋_GB2312"/>
          <w:color w:val="auto"/>
          <w:kern w:val="0"/>
          <w:highlight w:val="none"/>
        </w:rPr>
      </w:pPr>
      <w:r>
        <w:rPr>
          <w:rFonts w:hint="eastAsia" w:eastAsia="仿宋_GB2312"/>
          <w:color w:val="auto"/>
          <w:kern w:val="0"/>
          <w:highlight w:val="none"/>
        </w:rPr>
        <w:t>落实党管武装、党委议军制度，做好</w:t>
      </w:r>
      <w:r>
        <w:rPr>
          <w:rFonts w:hint="eastAsia" w:eastAsia="仿宋_GB2312"/>
          <w:color w:val="auto"/>
          <w:kern w:val="0"/>
          <w:highlight w:val="none"/>
          <w:lang w:eastAsia="zh-CN"/>
        </w:rPr>
        <w:t>“</w:t>
      </w:r>
      <w:r>
        <w:rPr>
          <w:rFonts w:hint="eastAsia" w:eastAsia="仿宋_GB2312"/>
          <w:color w:val="auto"/>
          <w:kern w:val="0"/>
          <w:highlight w:val="none"/>
        </w:rPr>
        <w:t>双拥共建</w:t>
      </w:r>
      <w:r>
        <w:rPr>
          <w:rFonts w:hint="eastAsia" w:eastAsia="仿宋_GB2312"/>
          <w:color w:val="auto"/>
          <w:kern w:val="0"/>
          <w:highlight w:val="none"/>
          <w:lang w:eastAsia="zh-CN"/>
        </w:rPr>
        <w:t>”</w:t>
      </w:r>
      <w:r>
        <w:rPr>
          <w:rFonts w:hint="eastAsia" w:eastAsia="仿宋_GB2312"/>
          <w:color w:val="auto"/>
          <w:kern w:val="0"/>
          <w:highlight w:val="none"/>
        </w:rPr>
        <w:t>工作。推动经济建设项目贯彻国防要求，大力发展军民融合产业，推进驻秦部队保障社会化，深化军地资源共享和双向支撑拉动。完善国防动员体系，加强人民武装、经济装备、交通战备等动员能力建设，强化民兵预备役队伍和新型专业保障队伍建设，提升平战转换能力。推进民用建筑地下防空设施建设，保持人防工程建设面积与城市人口增长相适应。加强国防动员与应急管理体制有效衔接，完善军地应急沟通协调机制。自觉服从服务国防军队建设、</w:t>
      </w:r>
      <w:r>
        <w:rPr>
          <w:rFonts w:hint="eastAsia" w:eastAsia="仿宋_GB2312"/>
          <w:color w:val="auto"/>
          <w:kern w:val="0"/>
          <w:highlight w:val="none"/>
          <w:lang w:eastAsia="zh-CN"/>
        </w:rPr>
        <w:t>“</w:t>
      </w:r>
      <w:r>
        <w:rPr>
          <w:rFonts w:hint="eastAsia" w:eastAsia="仿宋_GB2312"/>
          <w:color w:val="auto"/>
          <w:kern w:val="0"/>
          <w:highlight w:val="none"/>
        </w:rPr>
        <w:t>一国两制</w:t>
      </w:r>
      <w:r>
        <w:rPr>
          <w:rFonts w:hint="eastAsia" w:eastAsia="仿宋_GB2312"/>
          <w:color w:val="auto"/>
          <w:kern w:val="0"/>
          <w:highlight w:val="none"/>
          <w:lang w:eastAsia="zh-CN"/>
        </w:rPr>
        <w:t>”</w:t>
      </w:r>
      <w:r>
        <w:rPr>
          <w:rFonts w:hint="eastAsia" w:eastAsia="仿宋_GB2312"/>
          <w:color w:val="auto"/>
          <w:kern w:val="0"/>
          <w:highlight w:val="none"/>
        </w:rPr>
        <w:t>、祖国统一和国家总体外交大局。</w:t>
      </w:r>
    </w:p>
    <w:p w14:paraId="4E4BF3AE">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1"/>
        <w:rPr>
          <w:rFonts w:eastAsia="黑体"/>
          <w:color w:val="auto"/>
          <w:highlight w:val="none"/>
        </w:rPr>
      </w:pPr>
      <w:bookmarkStart w:id="759" w:name="_Toc813"/>
      <w:bookmarkStart w:id="760" w:name="_Toc11033"/>
      <w:r>
        <w:rPr>
          <w:rFonts w:hint="eastAsia" w:eastAsia="黑体"/>
          <w:color w:val="auto"/>
          <w:highlight w:val="none"/>
        </w:rPr>
        <w:t>二、</w:t>
      </w:r>
      <w:bookmarkEnd w:id="759"/>
      <w:r>
        <w:rPr>
          <w:rFonts w:hint="eastAsia" w:eastAsia="黑体"/>
          <w:color w:val="auto"/>
          <w:highlight w:val="none"/>
        </w:rPr>
        <w:t>强化安全和应急管理</w:t>
      </w:r>
      <w:bookmarkEnd w:id="760"/>
    </w:p>
    <w:p w14:paraId="06C8FF0B">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eastAsia="仿宋_GB2312"/>
          <w:color w:val="auto"/>
          <w:highlight w:val="none"/>
        </w:rPr>
      </w:pPr>
      <w:r>
        <w:rPr>
          <w:rFonts w:hint="eastAsia" w:eastAsia="仿宋_GB2312"/>
          <w:color w:val="auto"/>
          <w:kern w:val="0"/>
          <w:highlight w:val="none"/>
        </w:rPr>
        <w:t>本着</w:t>
      </w:r>
      <w:r>
        <w:rPr>
          <w:rFonts w:hint="eastAsia" w:eastAsia="仿宋_GB2312"/>
          <w:color w:val="auto"/>
          <w:kern w:val="0"/>
          <w:highlight w:val="none"/>
          <w:lang w:eastAsia="zh-CN"/>
        </w:rPr>
        <w:t>“</w:t>
      </w:r>
      <w:r>
        <w:rPr>
          <w:rFonts w:hint="eastAsia" w:eastAsia="仿宋_GB2312"/>
          <w:color w:val="auto"/>
          <w:kern w:val="0"/>
          <w:highlight w:val="none"/>
        </w:rPr>
        <w:t>安全第一，预防为主，</w:t>
      </w:r>
      <w:r>
        <w:rPr>
          <w:rFonts w:hint="eastAsia" w:eastAsia="仿宋_GB2312"/>
          <w:color w:val="auto"/>
          <w:kern w:val="0"/>
          <w:highlight w:val="none"/>
          <w:lang w:eastAsia="zh-CN"/>
        </w:rPr>
        <w:t>综合治理”</w:t>
      </w:r>
      <w:r>
        <w:rPr>
          <w:rFonts w:hint="eastAsia" w:eastAsia="仿宋_GB2312"/>
          <w:color w:val="auto"/>
          <w:kern w:val="0"/>
          <w:highlight w:val="none"/>
        </w:rPr>
        <w:t>的原则，</w:t>
      </w:r>
      <w:r>
        <w:rPr>
          <w:rFonts w:hint="eastAsia" w:eastAsia="仿宋_GB2312"/>
          <w:color w:val="auto"/>
          <w:highlight w:val="none"/>
        </w:rPr>
        <w:t>坚持人民至上、生命至上，把保护人民生命安全摆在首位，全力保护人民群众生命财产安全。</w:t>
      </w:r>
    </w:p>
    <w:p w14:paraId="7B18A7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b w:val="0"/>
          <w:bCs w:val="0"/>
          <w:color w:val="auto"/>
          <w:highlight w:val="none"/>
        </w:rPr>
      </w:pPr>
      <w:bookmarkStart w:id="761" w:name="_Toc19190"/>
      <w:bookmarkStart w:id="762" w:name="_Toc3321"/>
      <w:r>
        <w:rPr>
          <w:rFonts w:hint="eastAsia"/>
          <w:b w:val="0"/>
          <w:bCs w:val="0"/>
          <w:color w:val="auto"/>
          <w:highlight w:val="none"/>
        </w:rPr>
        <w:t>（一）毫不放松抓好常态化疫情防控</w:t>
      </w:r>
      <w:bookmarkEnd w:id="761"/>
    </w:p>
    <w:p w14:paraId="08358EEB">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eastAsia="仿宋_GB2312"/>
          <w:b/>
          <w:bCs/>
          <w:color w:val="auto"/>
          <w:highlight w:val="none"/>
        </w:rPr>
      </w:pPr>
      <w:r>
        <w:rPr>
          <w:rFonts w:hint="eastAsia" w:eastAsia="仿宋_GB2312"/>
          <w:color w:val="auto"/>
          <w:highlight w:val="none"/>
          <w:lang w:eastAsia="zh-CN"/>
        </w:rPr>
        <w:t>建立健全</w:t>
      </w:r>
      <w:r>
        <w:rPr>
          <w:rFonts w:hint="eastAsia" w:eastAsia="仿宋_GB2312"/>
          <w:color w:val="auto"/>
          <w:highlight w:val="none"/>
        </w:rPr>
        <w:t>常态化疫情防控</w:t>
      </w:r>
      <w:r>
        <w:rPr>
          <w:rFonts w:hint="eastAsia" w:eastAsia="仿宋_GB2312"/>
          <w:color w:val="auto"/>
          <w:highlight w:val="none"/>
          <w:lang w:eastAsia="zh-CN"/>
        </w:rPr>
        <w:t>工作机制</w:t>
      </w:r>
      <w:r>
        <w:rPr>
          <w:rFonts w:hint="eastAsia" w:eastAsia="仿宋_GB2312"/>
          <w:color w:val="auto"/>
          <w:highlight w:val="none"/>
        </w:rPr>
        <w:t>，坚持常态化精准防控和局部应急处置相结合，全面做好外防输入、内防反弹工作，持续强化</w:t>
      </w:r>
      <w:r>
        <w:rPr>
          <w:rFonts w:hint="eastAsia" w:eastAsia="仿宋_GB2312"/>
          <w:color w:val="auto"/>
          <w:highlight w:val="none"/>
          <w:lang w:eastAsia="zh-CN"/>
        </w:rPr>
        <w:t>“</w:t>
      </w:r>
      <w:r>
        <w:rPr>
          <w:rFonts w:hint="eastAsia" w:eastAsia="仿宋_GB2312"/>
          <w:color w:val="auto"/>
          <w:highlight w:val="none"/>
        </w:rPr>
        <w:t>四早</w:t>
      </w:r>
      <w:r>
        <w:rPr>
          <w:rFonts w:hint="eastAsia" w:eastAsia="仿宋_GB2312"/>
          <w:color w:val="auto"/>
          <w:highlight w:val="none"/>
          <w:lang w:eastAsia="zh-CN"/>
        </w:rPr>
        <w:t>”“</w:t>
      </w:r>
      <w:r>
        <w:rPr>
          <w:rFonts w:hint="eastAsia" w:eastAsia="仿宋_GB2312"/>
          <w:color w:val="auto"/>
          <w:highlight w:val="none"/>
        </w:rPr>
        <w:t>四集中</w:t>
      </w:r>
      <w:r>
        <w:rPr>
          <w:rFonts w:hint="eastAsia" w:eastAsia="仿宋_GB2312"/>
          <w:color w:val="auto"/>
          <w:highlight w:val="none"/>
          <w:lang w:eastAsia="zh-CN"/>
        </w:rPr>
        <w:t>”“</w:t>
      </w:r>
      <w:r>
        <w:rPr>
          <w:rFonts w:hint="eastAsia" w:eastAsia="仿宋_GB2312"/>
          <w:color w:val="auto"/>
          <w:highlight w:val="none"/>
        </w:rPr>
        <w:t>三个关口前移</w:t>
      </w:r>
      <w:r>
        <w:rPr>
          <w:rFonts w:hint="eastAsia" w:eastAsia="仿宋_GB2312"/>
          <w:color w:val="auto"/>
          <w:highlight w:val="none"/>
          <w:lang w:eastAsia="zh-CN"/>
        </w:rPr>
        <w:t>”</w:t>
      </w:r>
      <w:r>
        <w:rPr>
          <w:rFonts w:hint="eastAsia" w:eastAsia="仿宋_GB2312"/>
          <w:color w:val="auto"/>
          <w:highlight w:val="none"/>
        </w:rPr>
        <w:t>等措施，认真执行四位一体要求，全面推进联防联控和群防群治，坚决守住秦皇岛不发生疫情扩散的底线。针对抗击疫情</w:t>
      </w:r>
      <w:r>
        <w:rPr>
          <w:rFonts w:hint="eastAsia" w:eastAsia="仿宋_GB2312"/>
          <w:color w:val="auto"/>
          <w:highlight w:val="none"/>
          <w:lang w:eastAsia="zh-CN"/>
        </w:rPr>
        <w:t>“</w:t>
      </w:r>
      <w:r>
        <w:rPr>
          <w:rFonts w:hint="eastAsia" w:eastAsia="仿宋_GB2312"/>
          <w:color w:val="auto"/>
          <w:highlight w:val="none"/>
        </w:rPr>
        <w:t>大考</w:t>
      </w:r>
      <w:r>
        <w:rPr>
          <w:rFonts w:hint="eastAsia" w:eastAsia="仿宋_GB2312"/>
          <w:color w:val="auto"/>
          <w:highlight w:val="none"/>
          <w:lang w:eastAsia="zh-CN"/>
        </w:rPr>
        <w:t>”</w:t>
      </w:r>
      <w:r>
        <w:rPr>
          <w:rFonts w:hint="eastAsia" w:eastAsia="仿宋_GB2312"/>
          <w:color w:val="auto"/>
          <w:highlight w:val="none"/>
        </w:rPr>
        <w:t>中暴露出的短板弱项，强化公共卫生资源、公共卫生人才等能力建设，科学</w:t>
      </w:r>
      <w:r>
        <w:rPr>
          <w:rFonts w:hint="eastAsia" w:eastAsia="仿宋_GB2312"/>
          <w:color w:val="auto"/>
          <w:highlight w:val="none"/>
          <w:lang w:eastAsia="zh-CN"/>
        </w:rPr>
        <w:t>指导</w:t>
      </w:r>
      <w:r>
        <w:rPr>
          <w:rFonts w:hint="eastAsia" w:eastAsia="仿宋_GB2312"/>
          <w:color w:val="auto"/>
          <w:highlight w:val="none"/>
        </w:rPr>
        <w:t>农村地区精准做好新冠肺炎疫情防控工作</w:t>
      </w:r>
      <w:r>
        <w:rPr>
          <w:rFonts w:hint="eastAsia" w:eastAsia="仿宋_GB2312"/>
          <w:color w:val="auto"/>
          <w:highlight w:val="none"/>
          <w:lang w:eastAsia="zh-CN"/>
        </w:rPr>
        <w:t>，</w:t>
      </w:r>
      <w:r>
        <w:rPr>
          <w:rFonts w:hint="eastAsia" w:eastAsia="仿宋_GB2312"/>
          <w:color w:val="auto"/>
          <w:highlight w:val="none"/>
        </w:rPr>
        <w:t>加强县乡村三级专业人员样本采集、核酸检测、流行病学调查、环境消杀等技术培训</w:t>
      </w:r>
      <w:r>
        <w:rPr>
          <w:rFonts w:hint="eastAsia" w:eastAsia="仿宋_GB2312"/>
          <w:color w:val="auto"/>
          <w:highlight w:val="none"/>
          <w:lang w:eastAsia="zh-CN"/>
        </w:rPr>
        <w:t>，</w:t>
      </w:r>
      <w:r>
        <w:rPr>
          <w:rFonts w:hint="eastAsia" w:eastAsia="仿宋_GB2312"/>
          <w:color w:val="auto"/>
          <w:highlight w:val="none"/>
        </w:rPr>
        <w:t>加强医疗机构和疾控机构采样</w:t>
      </w:r>
      <w:r>
        <w:rPr>
          <w:rFonts w:hint="eastAsia" w:eastAsia="仿宋_GB2312"/>
          <w:color w:val="auto"/>
          <w:highlight w:val="none"/>
          <w:lang w:eastAsia="zh-CN"/>
        </w:rPr>
        <w:t>、</w:t>
      </w:r>
      <w:r>
        <w:rPr>
          <w:rFonts w:hint="eastAsia" w:eastAsia="仿宋_GB2312"/>
          <w:color w:val="auto"/>
          <w:highlight w:val="none"/>
        </w:rPr>
        <w:t>核酸检测能力</w:t>
      </w:r>
      <w:r>
        <w:rPr>
          <w:rFonts w:hint="eastAsia" w:eastAsia="仿宋_GB2312"/>
          <w:color w:val="auto"/>
          <w:highlight w:val="none"/>
          <w:lang w:eastAsia="zh-CN"/>
        </w:rPr>
        <w:t>和集中隔离场所</w:t>
      </w:r>
      <w:r>
        <w:rPr>
          <w:rFonts w:hint="eastAsia" w:eastAsia="仿宋_GB2312"/>
          <w:color w:val="auto"/>
          <w:highlight w:val="none"/>
        </w:rPr>
        <w:t>建设。建设平战结合的重大疫情防控救治体系，强化公共卫生法治保障和科技支撑，提升应急医疗物资储备和保障能力。深入开展爱国卫生运动，推动国家卫生城市创建工作常态化制度化，提升全社会文明程度，筑牢常态化疫情防控的社会大防线。</w:t>
      </w:r>
    </w:p>
    <w:p w14:paraId="52E67C79">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2"/>
        <w:rPr>
          <w:b w:val="0"/>
          <w:bCs w:val="0"/>
          <w:color w:val="auto"/>
          <w:highlight w:val="none"/>
        </w:rPr>
      </w:pPr>
      <w:bookmarkStart w:id="763" w:name="_Toc11457"/>
      <w:r>
        <w:rPr>
          <w:rFonts w:hint="eastAsia"/>
          <w:b w:val="0"/>
          <w:bCs w:val="0"/>
          <w:color w:val="auto"/>
          <w:highlight w:val="none"/>
        </w:rPr>
        <w:t>（二）全面落实安全生产</w:t>
      </w:r>
      <w:bookmarkEnd w:id="762"/>
      <w:r>
        <w:rPr>
          <w:rFonts w:hint="eastAsia"/>
          <w:b w:val="0"/>
          <w:bCs w:val="0"/>
          <w:color w:val="auto"/>
          <w:highlight w:val="none"/>
        </w:rPr>
        <w:t>责任制</w:t>
      </w:r>
      <w:bookmarkEnd w:id="763"/>
    </w:p>
    <w:p w14:paraId="6118D6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
          <w:color w:val="auto"/>
          <w:highlight w:val="none"/>
        </w:rPr>
      </w:pPr>
      <w:r>
        <w:rPr>
          <w:rFonts w:hint="eastAsia" w:eastAsia="仿宋_GB2312"/>
          <w:color w:val="auto"/>
          <w:highlight w:val="none"/>
        </w:rPr>
        <w:t>建立健全安全生产“党政同责、一岗双责、齐抓共管”工作机制，严格落实“行业主管部门直接监管，安全监管部门综合监管，地方政府属地监管”和“管生产经营必须管安全、管行业必须管安全、管业务必须管安全”“谁审批，谁负责”以及“属地监管与分级管理相结合，以属地管理为主”要求。加强安全生产监管，全面推行安全生产网格化监管，加强安全生产监管能力建设，强化安全生产监管执法，严肃事故调查处理，推进安全生产诚信体系建设，健全安全生产工作考核评价体系。强化企业安全生产主体责任，建立企业安全生产责任清单，加强安全管理队伍建设，实施企业全员安全生产责任制，严格落实全员安全教育培训制度，强化企业安全应急管理，加大安全生产资金投入，加强安全生产基础设施配套建设，持续提升自动化、科技化、信息化、智能化水平。构建安全风险分级管控和隐患排查治理双重预防机制，强化重大安全生产风险源头管控，持续开展危险化学品、矿山尾矿库、建筑施工、交通、消防等重点行业领域专项整治，严防重特大安全事故。加强安全生产法规知识宣传教育，提升公众安全意识和素质，营造全社会“关注安全、关爱生命”良好氛围。</w:t>
      </w:r>
      <w:bookmarkStart w:id="764" w:name="_Toc9398"/>
      <w:r>
        <w:rPr>
          <w:rFonts w:eastAsia="仿宋"/>
          <w:color w:val="auto"/>
          <w:highlight w:val="none"/>
        </w:rPr>
        <w:t xml:space="preserve"> </w:t>
      </w:r>
    </w:p>
    <w:p w14:paraId="4A88C114">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2"/>
        <w:rPr>
          <w:b w:val="0"/>
          <w:bCs w:val="0"/>
          <w:color w:val="auto"/>
          <w:highlight w:val="none"/>
        </w:rPr>
      </w:pPr>
      <w:bookmarkStart w:id="765" w:name="_Toc24561"/>
      <w:bookmarkStart w:id="766" w:name="_Toc28105"/>
      <w:r>
        <w:rPr>
          <w:rFonts w:hint="eastAsia"/>
          <w:b w:val="0"/>
          <w:bCs w:val="0"/>
          <w:color w:val="auto"/>
          <w:highlight w:val="none"/>
        </w:rPr>
        <w:t>（三）保障食品药品安全</w:t>
      </w:r>
      <w:bookmarkEnd w:id="765"/>
      <w:bookmarkEnd w:id="766"/>
    </w:p>
    <w:p w14:paraId="612C3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highlight w:val="none"/>
        </w:rPr>
      </w:pPr>
      <w:r>
        <w:rPr>
          <w:rFonts w:hint="eastAsia" w:eastAsia="仿宋_GB2312"/>
          <w:color w:val="auto"/>
          <w:highlight w:val="none"/>
        </w:rPr>
        <w:t>坚持最严谨的标准、最严格的监管、最严厉的处罚、最严肃的问责，强化地方党委领导责任、政府属地管理责任、部门监管责任，提高食品药品安全保障水平。实施食品安全放心工程，强化源头治理和全过程监管，健全追溯机制，提升食品全链条质量安全。深入开展产地环境净化、校园食品安全守护、农村假冒伪劣食品治理、保健食品行业清理等专项行动，严厉打击违法违规行为。实施药品全生命周期监管，完善法规制度体系，提升监管能力。改革食品药品安全监管体制，健全协调联动机制，构建常态化、制度化、规范化隐患排查治理机制，推进食品药品安全智慧监管，提升安全风险处置能力。</w:t>
      </w:r>
    </w:p>
    <w:p w14:paraId="2D70D6BD">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2"/>
        <w:rPr>
          <w:b w:val="0"/>
          <w:bCs w:val="0"/>
          <w:color w:val="auto"/>
          <w:highlight w:val="none"/>
        </w:rPr>
      </w:pPr>
      <w:bookmarkStart w:id="767" w:name="_Toc9883"/>
      <w:bookmarkStart w:id="768" w:name="_Toc5680"/>
      <w:r>
        <w:rPr>
          <w:rFonts w:hint="eastAsia"/>
          <w:b w:val="0"/>
          <w:bCs w:val="0"/>
          <w:color w:val="auto"/>
          <w:highlight w:val="none"/>
        </w:rPr>
        <w:t>（四）提高防灾减灾抗灾救灾能力</w:t>
      </w:r>
      <w:bookmarkEnd w:id="764"/>
      <w:bookmarkEnd w:id="767"/>
      <w:bookmarkEnd w:id="768"/>
    </w:p>
    <w:p w14:paraId="069CDF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auto"/>
          <w:highlight w:val="none"/>
        </w:rPr>
      </w:pPr>
      <w:r>
        <w:rPr>
          <w:rFonts w:hint="eastAsia" w:eastAsia="仿宋_GB2312"/>
          <w:color w:val="auto"/>
          <w:highlight w:val="none"/>
        </w:rPr>
        <w:t>夯实灾害风险治理基础，加强防汛抗旱、防震减灾、防风抗潮、防雹增雨、森林防灭火、消防救援等防灾减灾重点工程建设，提高城市建筑和基础设施抗灾能力，提升农村住房设防水平和抗灾能力。加快气象、水文、地震、地质等灾害地面监测站网基础设施建设，提高自然灾害早期识别能力。开展自然灾害风险与减灾能力调查，建设支撑自然灾害风险管理的全要素数据资源体系。加强自然灾害早期预报预警、风险评估信息共享与发布能力建设。深入推进社区减灾工作，提升基层灾害风险管理能力。开展防灾减灾救灾宣传教育，提高公众灾害风险防范意识和自救互救能力。推进应急管理体系和能力现代化建设，完善应急物资保障体系，优化煤炭、天然气、救灾物资、消防救援装备建设储备布局，构建多元化物资保障体系；完善救援队伍体系，统筹国家综合性消防救援队伍、各类专业应急救援力量和社会应急力量，健全完善军地抢险救灾协调联动机制；完善应急响应和救援体系，构建灾害综合信息共享服务平台，形成各方齐抓共管、协同配合、联防联控的工作格局。</w:t>
      </w:r>
    </w:p>
    <w:bookmarkEnd w:id="742"/>
    <w:bookmarkEnd w:id="743"/>
    <w:bookmarkEnd w:id="744"/>
    <w:bookmarkEnd w:id="745"/>
    <w:bookmarkEnd w:id="746"/>
    <w:bookmarkEnd w:id="747"/>
    <w:p w14:paraId="34A5FC3E">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1"/>
        <w:rPr>
          <w:rFonts w:eastAsia="黑体"/>
          <w:color w:val="auto"/>
          <w:highlight w:val="none"/>
        </w:rPr>
      </w:pPr>
      <w:bookmarkStart w:id="769" w:name="_Toc12946"/>
      <w:bookmarkStart w:id="770" w:name="_Toc726"/>
      <w:bookmarkStart w:id="771" w:name="_Toc12138"/>
      <w:bookmarkStart w:id="772" w:name="_Toc12759"/>
      <w:bookmarkStart w:id="773" w:name="_Toc11300"/>
      <w:bookmarkStart w:id="774" w:name="_Toc9511"/>
      <w:bookmarkStart w:id="775" w:name="_Toc13185"/>
      <w:bookmarkStart w:id="776" w:name="_Toc13341"/>
      <w:r>
        <w:rPr>
          <w:rFonts w:hint="eastAsia" w:eastAsia="黑体"/>
          <w:color w:val="auto"/>
          <w:highlight w:val="none"/>
        </w:rPr>
        <w:t>三、</w:t>
      </w:r>
      <w:bookmarkEnd w:id="769"/>
      <w:bookmarkEnd w:id="770"/>
      <w:bookmarkEnd w:id="771"/>
      <w:bookmarkEnd w:id="772"/>
      <w:bookmarkEnd w:id="773"/>
      <w:bookmarkEnd w:id="774"/>
      <w:bookmarkEnd w:id="775"/>
      <w:r>
        <w:rPr>
          <w:rFonts w:hint="eastAsia" w:eastAsia="黑体"/>
          <w:color w:val="auto"/>
          <w:highlight w:val="none"/>
        </w:rPr>
        <w:t>加强和创新社会治理</w:t>
      </w:r>
      <w:bookmarkEnd w:id="776"/>
    </w:p>
    <w:p w14:paraId="4CC31C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highlight w:val="none"/>
        </w:rPr>
      </w:pPr>
      <w:bookmarkStart w:id="777" w:name="_Toc28510"/>
      <w:bookmarkStart w:id="778" w:name="_Toc10986"/>
      <w:bookmarkStart w:id="779" w:name="_Toc10510"/>
      <w:bookmarkStart w:id="780" w:name="_Toc2364"/>
      <w:bookmarkStart w:id="781" w:name="_Toc936"/>
      <w:bookmarkStart w:id="782" w:name="_Toc9639"/>
      <w:r>
        <w:rPr>
          <w:rFonts w:hint="eastAsia" w:eastAsia="仿宋_GB2312"/>
          <w:color w:val="auto"/>
          <w:highlight w:val="none"/>
        </w:rPr>
        <w:t>坚持专项治理、系统治理、综合治理、依法治理、源头治理有机融合，防化并举，标本兼治，增强社会治理整体性和协同性，提升社会治理效能，提高平安秦皇岛建设水平。</w:t>
      </w:r>
    </w:p>
    <w:p w14:paraId="1F937A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b w:val="0"/>
          <w:bCs w:val="0"/>
          <w:color w:val="auto"/>
          <w:highlight w:val="none"/>
        </w:rPr>
      </w:pPr>
      <w:bookmarkStart w:id="783" w:name="_Toc8327"/>
      <w:bookmarkStart w:id="784" w:name="_Toc11712"/>
      <w:r>
        <w:rPr>
          <w:rFonts w:hint="eastAsia"/>
          <w:b w:val="0"/>
          <w:bCs w:val="0"/>
          <w:color w:val="auto"/>
          <w:highlight w:val="none"/>
        </w:rPr>
        <w:t>（一）健全基层群众自治制度</w:t>
      </w:r>
      <w:bookmarkEnd w:id="777"/>
      <w:bookmarkEnd w:id="778"/>
      <w:bookmarkEnd w:id="779"/>
      <w:bookmarkEnd w:id="780"/>
      <w:bookmarkEnd w:id="781"/>
      <w:bookmarkEnd w:id="782"/>
      <w:bookmarkEnd w:id="783"/>
      <w:bookmarkEnd w:id="784"/>
    </w:p>
    <w:p w14:paraId="6EB5B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highlight w:val="none"/>
        </w:rPr>
      </w:pPr>
      <w:r>
        <w:rPr>
          <w:rFonts w:hint="eastAsia" w:eastAsia="仿宋_GB2312"/>
          <w:color w:val="auto"/>
          <w:highlight w:val="none"/>
        </w:rPr>
        <w:t>完善基层群众自治组织民主制度，推进群众自治组织规范化建设，明确政府管理权和居民自治权边界，</w:t>
      </w:r>
      <w:r>
        <w:rPr>
          <w:rFonts w:hint="eastAsia" w:ascii="仿宋_GB2312" w:hAnsi="Arial" w:eastAsia="仿宋_GB2312" w:cs="Arial"/>
          <w:color w:val="auto"/>
          <w:sz w:val="32"/>
          <w:szCs w:val="32"/>
          <w:shd w:val="clear" w:color="auto" w:fill="FFFFFF"/>
        </w:rPr>
        <w:t>完善社区、社会组织、社会工作专业人才联动服务机制</w:t>
      </w:r>
      <w:r>
        <w:rPr>
          <w:rFonts w:hint="eastAsia" w:eastAsia="仿宋_GB2312"/>
          <w:color w:val="auto"/>
          <w:highlight w:val="none"/>
        </w:rPr>
        <w:t>。推进和规范住宅小区业主大会、业主委员会、物业监督委员会等自治组织建设，提高城乡社区治理、基层公共事务和公益事业中群众自我管理、自我服务水平。促进流动人口有效参与社区服务管理，吸纳非户籍居民、社会工作者等专业人才参与公共事务和公益事业协商。健全利益相关方参与决策机制，引导非户籍居民参与民主决策。健全以职工代表大会为基本形式的企事业单位民主管理制度，探索企业职工参与管理的有效方式，保障职工的知情权、参与权、表达权、监督权，维护职工合法权益。</w:t>
      </w:r>
    </w:p>
    <w:p w14:paraId="1F8EF2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eastAsia="仿宋_GB2312"/>
          <w:color w:val="auto"/>
          <w:highlight w:val="none"/>
        </w:rPr>
      </w:pPr>
      <w:bookmarkStart w:id="785" w:name="_Toc13867"/>
      <w:bookmarkStart w:id="786" w:name="_Toc1529"/>
      <w:bookmarkStart w:id="787" w:name="_Toc20683"/>
      <w:bookmarkStart w:id="788" w:name="_Toc4855"/>
      <w:bookmarkStart w:id="789" w:name="_Toc11434"/>
      <w:bookmarkStart w:id="790" w:name="_Toc19376"/>
      <w:bookmarkStart w:id="791" w:name="_Toc51"/>
      <w:bookmarkStart w:id="792" w:name="_Toc12325"/>
      <w:r>
        <w:rPr>
          <w:rFonts w:hint="eastAsia"/>
          <w:b w:val="0"/>
          <w:bCs w:val="0"/>
          <w:color w:val="auto"/>
          <w:highlight w:val="none"/>
        </w:rPr>
        <w:t>（二）</w:t>
      </w:r>
      <w:bookmarkEnd w:id="785"/>
      <w:bookmarkEnd w:id="786"/>
      <w:bookmarkEnd w:id="787"/>
      <w:bookmarkEnd w:id="788"/>
      <w:bookmarkEnd w:id="789"/>
      <w:bookmarkEnd w:id="790"/>
      <w:bookmarkEnd w:id="791"/>
      <w:r>
        <w:rPr>
          <w:rFonts w:hint="eastAsia"/>
          <w:b w:val="0"/>
          <w:bCs w:val="0"/>
          <w:color w:val="auto"/>
          <w:highlight w:val="none"/>
        </w:rPr>
        <w:t>加强基层法治治理</w:t>
      </w:r>
      <w:bookmarkEnd w:id="792"/>
      <w:bookmarkStart w:id="793" w:name="_Toc17843"/>
    </w:p>
    <w:p w14:paraId="07C696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highlight w:val="none"/>
        </w:rPr>
      </w:pPr>
      <w:r>
        <w:rPr>
          <w:rFonts w:hint="eastAsia" w:eastAsia="仿宋_GB2312"/>
          <w:color w:val="auto"/>
          <w:highlight w:val="none"/>
        </w:rPr>
        <w:t>推动社会治理和服务重心向基层下移，把更多资源、服务、管理下沉到基层。大力推进法治乡村建设，深入开展“民主法治示范村”创建活动，加强乡村法治宣传教育，完善涉农领域政策制度，规范涉农</w:t>
      </w:r>
      <w:r>
        <w:rPr>
          <w:rFonts w:hint="eastAsia" w:eastAsia="仿宋_GB2312"/>
          <w:color w:val="auto"/>
          <w:highlight w:val="none"/>
          <w:lang w:eastAsia="zh-CN"/>
        </w:rPr>
        <w:t>行政</w:t>
      </w:r>
      <w:r>
        <w:rPr>
          <w:rFonts w:hint="eastAsia" w:eastAsia="仿宋_GB2312"/>
          <w:color w:val="auto"/>
          <w:highlight w:val="none"/>
        </w:rPr>
        <w:t>执法，强化乡村司法保障</w:t>
      </w:r>
      <w:r>
        <w:rPr>
          <w:rFonts w:hint="eastAsia" w:eastAsia="仿宋_GB2312"/>
          <w:color w:val="auto"/>
          <w:highlight w:val="none"/>
          <w:lang w:eastAsia="zh-CN"/>
        </w:rPr>
        <w:t>，加强农村公共法律服务</w:t>
      </w:r>
      <w:r>
        <w:rPr>
          <w:rFonts w:hint="eastAsia" w:eastAsia="仿宋_GB2312"/>
          <w:color w:val="auto"/>
          <w:highlight w:val="none"/>
        </w:rPr>
        <w:t>。健全社区管理和服务机制，加强社区惠民服务综合体系建设，建好社区干部、网格员、志愿者等队伍，发挥群团组织、社会组织作用，发挥行业协会商会自律功能，推动社会治理力量落到最基层。增强基层干部法治观念、法治为民意识，提高依法决策、依法管理能力。深入推进综合行政执法改革向基层延伸，创新监管方式，推动执法队伍整合、执法力量下沉，提高执法能力和水平。整合优化公共服务和行政审批职责，打造“一门式办理”“一站式服务”的综合服务平台，逐步形成完善的基层便民服务体系。利用互联网等现代信息技术提升基层社区治理水平，打造“互联网+社区”的智慧社区。</w:t>
      </w:r>
    </w:p>
    <w:p w14:paraId="372313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b w:val="0"/>
          <w:bCs w:val="0"/>
          <w:color w:val="auto"/>
          <w:highlight w:val="none"/>
        </w:rPr>
      </w:pPr>
      <w:bookmarkStart w:id="794" w:name="_Toc31144"/>
      <w:bookmarkStart w:id="795" w:name="_Toc28490"/>
      <w:bookmarkStart w:id="796" w:name="_Toc31882"/>
      <w:bookmarkStart w:id="797" w:name="_Toc23160"/>
      <w:bookmarkStart w:id="798" w:name="_Toc518"/>
      <w:bookmarkStart w:id="799" w:name="_Toc13087"/>
      <w:bookmarkStart w:id="800" w:name="_Toc28104"/>
      <w:bookmarkStart w:id="801" w:name="_Toc1958"/>
      <w:r>
        <w:rPr>
          <w:rFonts w:hint="eastAsia"/>
          <w:b w:val="0"/>
          <w:bCs w:val="0"/>
          <w:color w:val="auto"/>
          <w:highlight w:val="none"/>
        </w:rPr>
        <w:t>（三）</w:t>
      </w:r>
      <w:bookmarkEnd w:id="793"/>
      <w:bookmarkEnd w:id="794"/>
      <w:bookmarkEnd w:id="795"/>
      <w:bookmarkEnd w:id="796"/>
      <w:bookmarkEnd w:id="797"/>
      <w:bookmarkEnd w:id="798"/>
      <w:bookmarkEnd w:id="799"/>
      <w:bookmarkEnd w:id="800"/>
      <w:r>
        <w:rPr>
          <w:rFonts w:hint="eastAsia"/>
          <w:b w:val="0"/>
          <w:bCs w:val="0"/>
          <w:color w:val="auto"/>
          <w:highlight w:val="none"/>
        </w:rPr>
        <w:t>正确处理人民内部矛盾</w:t>
      </w:r>
      <w:bookmarkEnd w:id="801"/>
    </w:p>
    <w:p w14:paraId="4514E9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highlight w:val="none"/>
          <w:lang w:eastAsia="zh-CN"/>
        </w:rPr>
      </w:pPr>
      <w:bookmarkStart w:id="802" w:name="_Toc31333"/>
      <w:r>
        <w:rPr>
          <w:rFonts w:hint="eastAsia" w:eastAsia="仿宋_GB2312"/>
          <w:color w:val="auto"/>
          <w:highlight w:val="none"/>
        </w:rPr>
        <w:t>坚持和发展新时代“枫桥经验”，探索创造更多依靠基层、发动群众、就地化解人民内部矛盾的途径和办法，实现预防化解工作常态化、长效化。坚持关口前移、源头预防，畅通和规范群众诉求表达、利益协调、权益保障通道，努力将矛盾化解在基层；完善信访制度，推进信访工作法治化、信息化、科学化，强化领导干部包联和接访下访制度，确保实现“北京不去、河北不聚”。坚持联调联动、多元化解，充分发挥调解第一道防线作用，健全人民调解、行政调解、司法调解联动工作体系，完善社会矛盾纠纷多元预防调处化解综合机制，以多元的方式方法化解不同的矛盾纠纷。坚持疏解引导、培育心态，健全社会心理服务体系和危机干预机制，加强对重点人群帮扶救助、心理疏导、法律援助，最大限度消解社会戾气，塑造自尊自信、理性和平、积极向上的社会心态，严防发生个人极端事件和群体性事件</w:t>
      </w:r>
      <w:r>
        <w:rPr>
          <w:rFonts w:hint="eastAsia" w:eastAsia="仿宋_GB2312"/>
          <w:color w:val="auto"/>
          <w:highlight w:val="none"/>
          <w:lang w:eastAsia="zh-CN"/>
        </w:rPr>
        <w:t>。</w:t>
      </w:r>
    </w:p>
    <w:p w14:paraId="101F43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color w:val="auto"/>
          <w:highlight w:val="none"/>
        </w:rPr>
      </w:pPr>
      <w:bookmarkStart w:id="803" w:name="_Toc8004"/>
      <w:r>
        <w:rPr>
          <w:rFonts w:hint="eastAsia" w:ascii="楷体" w:hAnsi="楷体" w:eastAsia="楷体" w:cs="楷体"/>
          <w:color w:val="auto"/>
          <w:highlight w:val="none"/>
        </w:rPr>
        <w:t>（四）完善现代化社会治安防控体系</w:t>
      </w:r>
      <w:bookmarkEnd w:id="803"/>
    </w:p>
    <w:p w14:paraId="03D3E7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highlight w:val="none"/>
        </w:rPr>
      </w:pPr>
      <w:r>
        <w:rPr>
          <w:rFonts w:hint="eastAsia" w:eastAsia="仿宋_GB2312"/>
          <w:color w:val="auto"/>
          <w:highlight w:val="none"/>
        </w:rPr>
        <w:t>坚持立体化、法治化、专业化、智能化方向，打造城乡统筹、网上网下融合、人防物防技防结合、打防管控一体的社会治安防控新格局。抓好全国市域社会治理现代化试点建设，融合资源力量，强化管理。加强城乡社区治理和服务体系建设，推动网格化管理和网格员队伍建设，实行多网合一、全域覆盖。深化智慧平安社区、智慧交管建设，加强物业管理和出租屋管理。继续开展“雪亮工程”建设，推动数据共享深度融合，提高基层社会治理智能化精细化水平。加强智慧公安建设，强化公安机关技术侦查、网络侦查手段体系建设，提升全市科技防范水平和专业打击能力。完善扫黑除恶长效机制，严厉打击涉黑涉恶、严重暴力、电信网络诈骗、盗抢骗等违法犯罪。依法加强社区矫正对象、吸毒人员等教育管理。深化预防青少年犯罪，加强专门学校建设和专门教育工作。坚决依法打击整治网络政治谣言和有害信息，依法严厉打击网络犯罪利益链条。深化智慧交管建设，提升交通管理水平。</w:t>
      </w:r>
    </w:p>
    <w:tbl>
      <w:tblPr>
        <w:tblStyle w:val="17"/>
        <w:tblpPr w:leftFromText="180" w:rightFromText="180" w:vertAnchor="text" w:horzAnchor="page" w:tblpX="1760" w:tblpY="50"/>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6D17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0" w:type="dxa"/>
          </w:tcPr>
          <w:p w14:paraId="7641ADE6">
            <w:pPr>
              <w:spacing w:line="360" w:lineRule="exact"/>
              <w:jc w:val="center"/>
              <w:rPr>
                <w:color w:val="auto"/>
                <w:sz w:val="24"/>
                <w:szCs w:val="24"/>
                <w:highlight w:val="none"/>
              </w:rPr>
            </w:pPr>
            <w:r>
              <w:rPr>
                <w:rFonts w:hint="eastAsia" w:eastAsia="黑体"/>
                <w:bCs/>
                <w:color w:val="auto"/>
                <w:sz w:val="24"/>
                <w:szCs w:val="24"/>
                <w:highlight w:val="none"/>
              </w:rPr>
              <w:t>专栏</w:t>
            </w:r>
            <w:r>
              <w:rPr>
                <w:rFonts w:eastAsia="黑体"/>
                <w:bCs/>
                <w:color w:val="auto"/>
                <w:sz w:val="24"/>
                <w:szCs w:val="24"/>
                <w:highlight w:val="none"/>
              </w:rPr>
              <w:t>1</w:t>
            </w:r>
            <w:r>
              <w:rPr>
                <w:rFonts w:hint="eastAsia" w:eastAsia="黑体"/>
                <w:bCs/>
                <w:color w:val="auto"/>
                <w:sz w:val="24"/>
                <w:szCs w:val="24"/>
                <w:highlight w:val="none"/>
                <w:lang w:val="en-US" w:eastAsia="zh-CN"/>
              </w:rPr>
              <w:t>1</w:t>
            </w:r>
            <w:r>
              <w:rPr>
                <w:rFonts w:hint="eastAsia" w:eastAsia="黑体"/>
                <w:bCs/>
                <w:color w:val="auto"/>
                <w:sz w:val="24"/>
                <w:szCs w:val="24"/>
                <w:highlight w:val="none"/>
              </w:rPr>
              <w:t>：应急体系建设</w:t>
            </w:r>
          </w:p>
        </w:tc>
      </w:tr>
      <w:tr w14:paraId="4FAB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000" w:type="dxa"/>
          </w:tcPr>
          <w:p w14:paraId="2FB27180">
            <w:pPr>
              <w:pStyle w:val="35"/>
              <w:spacing w:line="320" w:lineRule="exact"/>
              <w:rPr>
                <w:rFonts w:ascii="Times New Roman" w:hAnsi="Times New Roman"/>
                <w:color w:val="auto"/>
                <w:highlight w:val="none"/>
              </w:rPr>
            </w:pPr>
            <w:r>
              <w:rPr>
                <w:rFonts w:ascii="Times New Roman" w:hAnsi="Times New Roman" w:eastAsia="宋体"/>
                <w:b/>
                <w:color w:val="auto"/>
                <w:sz w:val="21"/>
                <w:highlight w:val="none"/>
              </w:rPr>
              <w:t xml:space="preserve">    </w:t>
            </w:r>
            <w:r>
              <w:rPr>
                <w:rFonts w:hint="eastAsia" w:ascii="Times New Roman" w:hAnsi="Times New Roman" w:eastAsia="宋体"/>
                <w:b/>
                <w:color w:val="auto"/>
                <w:sz w:val="21"/>
                <w:highlight w:val="none"/>
              </w:rPr>
              <w:t>重点建设项目。</w:t>
            </w:r>
            <w:r>
              <w:rPr>
                <w:rFonts w:hint="eastAsia" w:ascii="Times New Roman" w:hAnsi="Times New Roman" w:eastAsia="宋体"/>
                <w:bCs/>
                <w:color w:val="auto"/>
                <w:sz w:val="21"/>
                <w:highlight w:val="none"/>
              </w:rPr>
              <w:t>中煤科工集团矿山重大事故防控技术支撑基地、博赫科技应急装备研发实训基地、气象防灾减灾体系建设工程、秦皇岛市应急救灾物资储备中心及监测预警应急指挥信息化平台建设、卢龙县综合性应急救援指挥中心、煤炭应急保障储运中心、天然气储备能力建设。</w:t>
            </w:r>
          </w:p>
        </w:tc>
      </w:tr>
      <w:bookmarkEnd w:id="802"/>
    </w:tbl>
    <w:p w14:paraId="438DC2F5">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jc w:val="center"/>
        <w:textAlignment w:val="auto"/>
        <w:outlineLvl w:val="0"/>
        <w:rPr>
          <w:rFonts w:eastAsia="宋体"/>
          <w:b/>
          <w:color w:val="auto"/>
          <w:spacing w:val="-4"/>
          <w:sz w:val="36"/>
          <w:szCs w:val="36"/>
          <w:highlight w:val="none"/>
        </w:rPr>
      </w:pPr>
      <w:bookmarkStart w:id="804" w:name="_Toc15632"/>
      <w:bookmarkStart w:id="805" w:name="_Toc444546060"/>
      <w:bookmarkStart w:id="806" w:name="_Toc13543"/>
      <w:bookmarkStart w:id="807" w:name="_Toc5269"/>
      <w:bookmarkStart w:id="808" w:name="_Toc444545695"/>
      <w:bookmarkStart w:id="809" w:name="_Toc440321680"/>
      <w:bookmarkStart w:id="810" w:name="_Toc1347"/>
      <w:bookmarkStart w:id="811" w:name="_Toc10874"/>
      <w:r>
        <w:rPr>
          <w:rFonts w:hint="eastAsia" w:eastAsia="宋体"/>
          <w:b/>
          <w:color w:val="auto"/>
          <w:spacing w:val="-4"/>
          <w:sz w:val="36"/>
          <w:szCs w:val="36"/>
          <w:highlight w:val="none"/>
        </w:rPr>
        <w:t>第十三章</w:t>
      </w:r>
      <w:r>
        <w:rPr>
          <w:rFonts w:eastAsia="宋体"/>
          <w:b/>
          <w:color w:val="auto"/>
          <w:spacing w:val="-4"/>
          <w:sz w:val="36"/>
          <w:szCs w:val="36"/>
          <w:highlight w:val="none"/>
        </w:rPr>
        <w:t xml:space="preserve"> </w:t>
      </w:r>
      <w:r>
        <w:rPr>
          <w:rFonts w:hint="eastAsia" w:eastAsia="宋体"/>
          <w:b/>
          <w:color w:val="auto"/>
          <w:spacing w:val="-4"/>
          <w:sz w:val="36"/>
          <w:szCs w:val="36"/>
          <w:highlight w:val="none"/>
        </w:rPr>
        <w:t>坚持和加强党的全面领导</w:t>
      </w:r>
      <w:bookmarkEnd w:id="804"/>
      <w:bookmarkEnd w:id="805"/>
      <w:bookmarkEnd w:id="806"/>
      <w:bookmarkEnd w:id="807"/>
      <w:bookmarkEnd w:id="808"/>
      <w:bookmarkEnd w:id="809"/>
      <w:r>
        <w:rPr>
          <w:rFonts w:hint="eastAsia" w:eastAsia="宋体"/>
          <w:b/>
          <w:color w:val="auto"/>
          <w:spacing w:val="-4"/>
          <w:sz w:val="36"/>
          <w:szCs w:val="36"/>
          <w:highlight w:val="none"/>
        </w:rPr>
        <w:t>，为规划实施提供坚强保障</w:t>
      </w:r>
      <w:bookmarkEnd w:id="810"/>
      <w:bookmarkEnd w:id="811"/>
    </w:p>
    <w:p w14:paraId="0CCFCE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highlight w:val="none"/>
        </w:rPr>
      </w:pPr>
      <w:r>
        <w:rPr>
          <w:rFonts w:hint="eastAsia" w:eastAsia="仿宋_GB2312"/>
          <w:color w:val="auto"/>
          <w:highlight w:val="none"/>
        </w:rPr>
        <w:t>发挥党总揽全局、协调各方的领导核心作用，认真贯彻新时代党的建设总要求和新时代党的组织路线，把党领导经济工作的制度优势转化为治理效能，充分调动一切积极因素，广泛团结一切可以团结的力量，凝聚形成推动高质量发展可持续发展的强大合力。</w:t>
      </w:r>
    </w:p>
    <w:p w14:paraId="621035CE">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1"/>
        <w:rPr>
          <w:rFonts w:eastAsia="黑体"/>
          <w:color w:val="auto"/>
          <w:highlight w:val="none"/>
        </w:rPr>
      </w:pPr>
      <w:bookmarkStart w:id="812" w:name="_Toc17600"/>
      <w:bookmarkStart w:id="813" w:name="_Toc19802"/>
      <w:r>
        <w:rPr>
          <w:rFonts w:hint="eastAsia" w:eastAsia="黑体"/>
          <w:color w:val="auto"/>
          <w:highlight w:val="none"/>
        </w:rPr>
        <w:t>一、完善党领导经济社会发展工作体制机制</w:t>
      </w:r>
      <w:bookmarkEnd w:id="812"/>
      <w:bookmarkEnd w:id="813"/>
    </w:p>
    <w:p w14:paraId="5C0F64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highlight w:val="none"/>
        </w:rPr>
      </w:pPr>
      <w:r>
        <w:rPr>
          <w:rFonts w:hint="eastAsia" w:eastAsia="仿宋_GB2312"/>
          <w:color w:val="auto"/>
          <w:highlight w:val="none"/>
        </w:rPr>
        <w:t>坚持政治站位，坚决维护党中央权威和集中统一领导，推动全市各级党组织和广大党员干部增强</w:t>
      </w:r>
      <w:r>
        <w:rPr>
          <w:rFonts w:hint="eastAsia" w:eastAsia="仿宋_GB2312"/>
          <w:color w:val="auto"/>
          <w:highlight w:val="none"/>
          <w:lang w:eastAsia="zh-CN"/>
        </w:rPr>
        <w:t>“</w:t>
      </w:r>
      <w:r>
        <w:rPr>
          <w:rFonts w:hint="eastAsia" w:eastAsia="仿宋_GB2312"/>
          <w:color w:val="auto"/>
          <w:highlight w:val="none"/>
        </w:rPr>
        <w:t>四个意识</w:t>
      </w:r>
      <w:r>
        <w:rPr>
          <w:rFonts w:hint="eastAsia" w:eastAsia="仿宋_GB2312"/>
          <w:color w:val="auto"/>
          <w:highlight w:val="none"/>
          <w:lang w:eastAsia="zh-CN"/>
        </w:rPr>
        <w:t>”</w:t>
      </w:r>
      <w:r>
        <w:rPr>
          <w:rFonts w:hint="eastAsia" w:eastAsia="仿宋_GB2312"/>
          <w:color w:val="auto"/>
          <w:highlight w:val="none"/>
        </w:rPr>
        <w:t>、坚定</w:t>
      </w:r>
      <w:r>
        <w:rPr>
          <w:rFonts w:hint="eastAsia" w:eastAsia="仿宋_GB2312"/>
          <w:color w:val="auto"/>
          <w:highlight w:val="none"/>
          <w:lang w:eastAsia="zh-CN"/>
        </w:rPr>
        <w:t>“</w:t>
      </w:r>
      <w:r>
        <w:rPr>
          <w:rFonts w:hint="eastAsia" w:eastAsia="仿宋_GB2312"/>
          <w:color w:val="auto"/>
          <w:highlight w:val="none"/>
        </w:rPr>
        <w:t>四个自信</w:t>
      </w:r>
      <w:r>
        <w:rPr>
          <w:rFonts w:hint="eastAsia" w:eastAsia="仿宋_GB2312"/>
          <w:color w:val="auto"/>
          <w:highlight w:val="none"/>
          <w:lang w:eastAsia="zh-CN"/>
        </w:rPr>
        <w:t>”、</w:t>
      </w:r>
      <w:r>
        <w:rPr>
          <w:rFonts w:hint="eastAsia" w:eastAsia="仿宋_GB2312"/>
          <w:color w:val="auto"/>
          <w:highlight w:val="none"/>
        </w:rPr>
        <w:t>做到</w:t>
      </w:r>
      <w:r>
        <w:rPr>
          <w:rFonts w:hint="eastAsia" w:eastAsia="仿宋_GB2312"/>
          <w:color w:val="auto"/>
          <w:highlight w:val="none"/>
          <w:lang w:eastAsia="zh-CN"/>
        </w:rPr>
        <w:t>“</w:t>
      </w:r>
      <w:r>
        <w:rPr>
          <w:rFonts w:hint="eastAsia" w:eastAsia="仿宋_GB2312"/>
          <w:color w:val="auto"/>
          <w:highlight w:val="none"/>
        </w:rPr>
        <w:t>两个维护</w:t>
      </w:r>
      <w:r>
        <w:rPr>
          <w:rFonts w:hint="eastAsia" w:eastAsia="仿宋_GB2312"/>
          <w:color w:val="auto"/>
          <w:highlight w:val="none"/>
          <w:lang w:eastAsia="zh-CN"/>
        </w:rPr>
        <w:t>”</w:t>
      </w:r>
      <w:r>
        <w:rPr>
          <w:rFonts w:hint="eastAsia" w:eastAsia="仿宋_GB2312"/>
          <w:color w:val="auto"/>
          <w:highlight w:val="none"/>
        </w:rPr>
        <w:t>。适应新形势新任务新要求，强化党的创新理论武装，加强和改进党委（党组）理论</w:t>
      </w:r>
      <w:r>
        <w:rPr>
          <w:rFonts w:hint="eastAsia" w:eastAsia="仿宋_GB2312"/>
          <w:color w:val="auto"/>
          <w:highlight w:val="none"/>
          <w:lang w:eastAsia="zh-CN"/>
        </w:rPr>
        <w:t>学习</w:t>
      </w:r>
      <w:r>
        <w:rPr>
          <w:rFonts w:hint="eastAsia" w:eastAsia="仿宋_GB2312"/>
          <w:color w:val="auto"/>
          <w:highlight w:val="none"/>
        </w:rPr>
        <w:t>中心组学习，创新工作机制和方式方法，提高党委（党组）把方向、谋大局、定政策、促改革的能力和水平。严格落实民主集中制，健全党委（党组）议事决策等工作制度，完善上下贯通、执行有力的组织体系，严格</w:t>
      </w:r>
      <w:r>
        <w:rPr>
          <w:rFonts w:hint="eastAsia" w:eastAsia="仿宋_GB2312"/>
          <w:color w:val="auto"/>
          <w:highlight w:val="none"/>
          <w:lang w:eastAsia="zh-CN"/>
        </w:rPr>
        <w:t>重大事项</w:t>
      </w:r>
      <w:r>
        <w:rPr>
          <w:rFonts w:hint="eastAsia" w:eastAsia="仿宋_GB2312"/>
          <w:color w:val="auto"/>
          <w:highlight w:val="none"/>
        </w:rPr>
        <w:t>请示报告制度，确保党中央决策部署和省委、市委工作要求落到实处。</w:t>
      </w:r>
    </w:p>
    <w:p w14:paraId="65641A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highlight w:val="none"/>
        </w:rPr>
      </w:pPr>
      <w:r>
        <w:rPr>
          <w:rFonts w:hint="eastAsia" w:eastAsia="仿宋_GB2312"/>
          <w:color w:val="auto"/>
          <w:highlight w:val="none"/>
          <w:lang w:eastAsia="zh-CN"/>
        </w:rPr>
        <w:t>完善党和国家监督体系，使监督融入“十四五”建设之中。坚持把监督贯彻于党领导经济社会发展全过程，把完善权力运行和监督制约的机制作为实施规划的基础性建设，构建全覆盖的责任制度和监督制度，与规划实施一起研究部署，一起组织推动，一起检查落实。压实各级党委</w:t>
      </w:r>
      <w:r>
        <w:rPr>
          <w:rFonts w:hint="eastAsia" w:eastAsia="仿宋_GB2312"/>
          <w:color w:val="auto"/>
          <w:highlight w:val="none"/>
        </w:rPr>
        <w:t>（党组）主体责任、党委（党组）书记第一责任人责任</w:t>
      </w:r>
      <w:r>
        <w:rPr>
          <w:rFonts w:hint="eastAsia" w:eastAsia="仿宋_GB2312"/>
          <w:color w:val="auto"/>
          <w:highlight w:val="none"/>
          <w:lang w:eastAsia="zh-CN"/>
        </w:rPr>
        <w:t>，发挥纪检监察机关监督作用，盯住重点人重点事，加强对规划实施监管。以党内监督为主导，不断完善权力监督制度和执纪执法体系，各种监督协调贯通，形成常态长效的监督合力。充分发挥监督在基层治理中的作用，推动监督落地，让群众参与到监督中来，促进权力依法规范行使，保障规划顺利实施。</w:t>
      </w:r>
    </w:p>
    <w:p w14:paraId="3D738643">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1"/>
        <w:rPr>
          <w:rFonts w:eastAsia="黑体"/>
          <w:color w:val="auto"/>
          <w:highlight w:val="none"/>
        </w:rPr>
      </w:pPr>
      <w:bookmarkStart w:id="814" w:name="_Toc14041"/>
      <w:bookmarkStart w:id="815" w:name="_Toc10017"/>
      <w:r>
        <w:rPr>
          <w:rFonts w:hint="eastAsia" w:eastAsia="黑体"/>
          <w:color w:val="auto"/>
          <w:highlight w:val="none"/>
        </w:rPr>
        <w:t>二、扎实推进社会主义政治建设</w:t>
      </w:r>
      <w:bookmarkEnd w:id="814"/>
      <w:bookmarkEnd w:id="815"/>
    </w:p>
    <w:p w14:paraId="4B9ED4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highlight w:val="none"/>
        </w:rPr>
      </w:pPr>
      <w:r>
        <w:rPr>
          <w:rFonts w:hint="eastAsia" w:eastAsia="仿宋_GB2312"/>
          <w:color w:val="auto"/>
          <w:highlight w:val="none"/>
        </w:rPr>
        <w:t>坚持人民代表大会制度，加强对</w:t>
      </w:r>
      <w:r>
        <w:rPr>
          <w:rFonts w:hint="eastAsia" w:eastAsia="仿宋_GB2312"/>
          <w:color w:val="auto"/>
          <w:highlight w:val="none"/>
          <w:lang w:eastAsia="zh-CN"/>
        </w:rPr>
        <w:t>“</w:t>
      </w:r>
      <w:r>
        <w:rPr>
          <w:rFonts w:hint="eastAsia" w:eastAsia="仿宋_GB2312"/>
          <w:color w:val="auto"/>
          <w:highlight w:val="none"/>
        </w:rPr>
        <w:t>一府一委两院</w:t>
      </w:r>
      <w:r>
        <w:rPr>
          <w:rFonts w:hint="eastAsia" w:eastAsia="仿宋_GB2312"/>
          <w:color w:val="auto"/>
          <w:highlight w:val="none"/>
          <w:lang w:eastAsia="zh-CN"/>
        </w:rPr>
        <w:t>”</w:t>
      </w:r>
      <w:r>
        <w:rPr>
          <w:rFonts w:hint="eastAsia" w:eastAsia="仿宋_GB2312"/>
          <w:color w:val="auto"/>
          <w:highlight w:val="none"/>
        </w:rPr>
        <w:t>监督制度，提高人大履职能力，增强人大整体效能。坚持中国共产党领导的多党合作和政治协商制度，加强人民政协专门协商机构建设，提高政治协商、民主监督、参政议政水平。坚持和完善民族区域自治制度，依法治理民族事务，促进各民族交往交流交融。健全基层群众自治制度，提高基层治理水平。完善党委统一领导、统战部门牵头协调、有关方面各负其责的大统战工作格局，全面落实党委统一战线工作主体责任和各级党委（党组）主要负责人落实本部门统一战线工作第一责任人责任，巩固和发展大团结大联合局面。</w:t>
      </w:r>
    </w:p>
    <w:p w14:paraId="6EC3C74B">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1"/>
        <w:rPr>
          <w:rFonts w:eastAsia="黑体"/>
          <w:color w:val="auto"/>
          <w:highlight w:val="none"/>
        </w:rPr>
      </w:pPr>
      <w:bookmarkStart w:id="816" w:name="_Toc27216"/>
      <w:bookmarkStart w:id="817" w:name="_Toc25290"/>
      <w:r>
        <w:rPr>
          <w:rFonts w:hint="eastAsia" w:eastAsia="黑体"/>
          <w:color w:val="auto"/>
          <w:highlight w:val="none"/>
        </w:rPr>
        <w:t>三、全面提升法治建设水平</w:t>
      </w:r>
      <w:bookmarkEnd w:id="816"/>
      <w:bookmarkEnd w:id="817"/>
    </w:p>
    <w:p w14:paraId="231E77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highlight w:val="none"/>
        </w:rPr>
      </w:pPr>
      <w:r>
        <w:rPr>
          <w:rFonts w:hint="eastAsia" w:eastAsia="仿宋_GB2312"/>
          <w:color w:val="auto"/>
          <w:highlight w:val="none"/>
        </w:rPr>
        <w:t>加强党对法治建设的领导，推动依法执政能力提高。紧密结合我市经济社会发展需要和实际，加强地方立法。组织实施“八五”普法规划，统筹落实“谁执法谁普法”责任制，强化以宪法为核心的全民普法工作，开展法治宣传教育。坚持依法行政，加快法治政府建设，严格落实重大行政决策程序制度，加强重大政策事前评估和事后评价，提高科学决策、民主决策、依法决策水平。深化行政执法体制改革，全面推行行政执法公示、执法全过程记录、重大执法决定法制审核制度，落实行政执法责任制和责任追究制度。深入开展法治政府建设示范创建活动，争创全国法治政府建设示范单位。推进公正司法，全面落实司法责任制，提升司法能力和司法公信力，确保司法公正高效权威。深化执行体制机制改革，推动形成综合治理执行难工作大格局。强化对司法权运行的监督制约，深化办案规范化建设。</w:t>
      </w:r>
    </w:p>
    <w:p w14:paraId="01CA4C96">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1"/>
        <w:rPr>
          <w:rFonts w:eastAsia="黑体"/>
          <w:color w:val="auto"/>
          <w:highlight w:val="none"/>
        </w:rPr>
      </w:pPr>
      <w:bookmarkStart w:id="818" w:name="_Toc25670"/>
      <w:bookmarkStart w:id="819" w:name="_Toc8283"/>
      <w:r>
        <w:rPr>
          <w:rFonts w:hint="eastAsia" w:eastAsia="黑体"/>
          <w:color w:val="auto"/>
          <w:highlight w:val="none"/>
        </w:rPr>
        <w:t>四、完善规划实施机制</w:t>
      </w:r>
      <w:bookmarkEnd w:id="818"/>
      <w:bookmarkEnd w:id="819"/>
    </w:p>
    <w:p w14:paraId="41747D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highlight w:val="none"/>
        </w:rPr>
      </w:pPr>
      <w:r>
        <w:rPr>
          <w:rFonts w:hint="eastAsia" w:eastAsia="仿宋_GB2312"/>
          <w:color w:val="auto"/>
          <w:highlight w:val="none"/>
        </w:rPr>
        <w:t>建立统一规划体系。发挥发展规划统领作用，强化专项规划、区域规划支撑和空间规划保障，形成定位准确、目标明确、功能互补、统一衔接的规划体系。完善规划衔接协调机制，确保各级各领域规划在约束性目标、功能定位和重大项目安排等方面与发展规划保持一致，有关建设计划、各类行动计划以及年度计划在实施时序上与发展规划衔接有序。</w:t>
      </w:r>
      <w:bookmarkStart w:id="820" w:name="_Toc2905"/>
      <w:bookmarkStart w:id="821" w:name="_Toc15921"/>
    </w:p>
    <w:p w14:paraId="3DF0F9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highlight w:val="none"/>
        </w:rPr>
      </w:pPr>
      <w:r>
        <w:rPr>
          <w:rFonts w:hint="eastAsia" w:eastAsia="仿宋_GB2312"/>
          <w:color w:val="auto"/>
          <w:highlight w:val="none"/>
        </w:rPr>
        <w:t>强化政策统筹协调</w:t>
      </w:r>
      <w:bookmarkEnd w:id="820"/>
      <w:bookmarkEnd w:id="821"/>
      <w:r>
        <w:rPr>
          <w:rFonts w:hint="eastAsia" w:eastAsia="仿宋_GB2312"/>
          <w:color w:val="auto"/>
          <w:highlight w:val="none"/>
        </w:rPr>
        <w:t>。坚持规划定方向、财政作保障、金融为支持、其他政策相协调、短期政策与长期政策相结合，构建各类政策规划对规划实施的支撑保障机制。统筹安排财政支出规模和结构，引导金融要素重点支持规划明确的重点领域和薄弱环节，完善重大生产力布局和土地、人口、环境、社会等公共政策，强化政策合力，确保规划目标任务落实。</w:t>
      </w:r>
      <w:bookmarkStart w:id="822" w:name="_Toc31607"/>
      <w:bookmarkStart w:id="823" w:name="_Toc17632"/>
    </w:p>
    <w:p w14:paraId="7EC041CC">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eastAsia="仿宋_GB2312"/>
          <w:color w:val="auto"/>
          <w:highlight w:val="none"/>
        </w:rPr>
      </w:pPr>
      <w:r>
        <w:rPr>
          <w:rFonts w:hint="eastAsia" w:eastAsia="仿宋_GB2312"/>
          <w:color w:val="auto"/>
          <w:highlight w:val="none"/>
        </w:rPr>
        <w:t>强力推动项目建设。实施重点项目滚动发展计划，形成梯次衔接、动态调整、滚动实施的项目储备良性机制。深入落实重点项目各级领导分包责任制，</w:t>
      </w:r>
      <w:r>
        <w:rPr>
          <w:rFonts w:hint="eastAsia" w:eastAsia="仿宋_GB2312"/>
          <w:color w:val="auto"/>
          <w:highlight w:val="none"/>
          <w:lang w:eastAsia="zh-CN"/>
        </w:rPr>
        <w:t>实施重点项目全过程管理，开展重点项目“三集中”活动，</w:t>
      </w:r>
      <w:r>
        <w:rPr>
          <w:rFonts w:hint="eastAsia" w:eastAsia="仿宋_GB2312"/>
          <w:color w:val="auto"/>
          <w:highlight w:val="none"/>
        </w:rPr>
        <w:t>推进工程建设项目审批制度改革，搭建政银企保</w:t>
      </w:r>
      <w:r>
        <w:rPr>
          <w:rFonts w:hint="eastAsia" w:eastAsia="仿宋_GB2312"/>
          <w:color w:val="auto"/>
          <w:highlight w:val="none"/>
          <w:lang w:eastAsia="zh-CN"/>
        </w:rPr>
        <w:t>信</w:t>
      </w:r>
      <w:r>
        <w:rPr>
          <w:rFonts w:hint="eastAsia" w:eastAsia="仿宋_GB2312"/>
          <w:color w:val="auto"/>
          <w:highlight w:val="none"/>
        </w:rPr>
        <w:t>对接平台，保障项目建设土地供应，</w:t>
      </w:r>
      <w:r>
        <w:rPr>
          <w:rFonts w:hint="eastAsia" w:eastAsia="仿宋_GB2312"/>
          <w:color w:val="auto"/>
          <w:highlight w:val="none"/>
          <w:lang w:eastAsia="zh-CN"/>
        </w:rPr>
        <w:t>落实生态环境监管正面清单。</w:t>
      </w:r>
      <w:r>
        <w:rPr>
          <w:rFonts w:hint="eastAsia" w:eastAsia="仿宋_GB2312"/>
          <w:color w:val="auto"/>
          <w:highlight w:val="none"/>
        </w:rPr>
        <w:t>完善开发区（园区）基础设施建设，强化产业配套和人力资源配套，提高项目承接承载能力。健全完善固定资产投资和项目建设督导考核机制。抓好市场主体企业家队伍、服务主体干部队伍建设，营造良好发展环境。</w:t>
      </w:r>
    </w:p>
    <w:p w14:paraId="0EDA62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highlight w:val="none"/>
        </w:rPr>
      </w:pPr>
      <w:r>
        <w:rPr>
          <w:rFonts w:hint="eastAsia" w:eastAsia="仿宋_GB2312"/>
          <w:color w:val="auto"/>
          <w:highlight w:val="none"/>
        </w:rPr>
        <w:t>健全规划实施与评估调整机制。完善动态实施机制，通过年度计划分解落实发展规划主要目标和重要任务，深入分析经济运行、社会发展</w:t>
      </w:r>
      <w:bookmarkEnd w:id="822"/>
      <w:bookmarkEnd w:id="823"/>
      <w:r>
        <w:rPr>
          <w:rFonts w:hint="eastAsia" w:eastAsia="仿宋_GB2312"/>
          <w:color w:val="auto"/>
          <w:highlight w:val="none"/>
        </w:rPr>
        <w:t>中存在的问题和风险，及时提出防范对策和举措。建立健全政府职责体系和约束性指标落实目标责任制，确保目标任务、重大政策举措、重大工程项目高效落地实施。强化规划刚性约束，维护规划权威性，确保一张蓝图干到底。健全规划评估调整修订机制，加强规划中期评估和总结评估，提交市人大常委会审议，确需调整本规划时，由市政府提出调整方案，按程序报市人大常委会批准执行。</w:t>
      </w:r>
      <w:bookmarkStart w:id="824" w:name="_Toc10572"/>
      <w:bookmarkStart w:id="825" w:name="_Toc27548"/>
    </w:p>
    <w:bookmarkEnd w:id="824"/>
    <w:bookmarkEnd w:id="825"/>
    <w:p w14:paraId="58A309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highlight w:val="none"/>
        </w:rPr>
      </w:pPr>
      <w:r>
        <w:rPr>
          <w:rFonts w:hint="eastAsia" w:eastAsia="仿宋_GB2312"/>
          <w:color w:val="auto"/>
          <w:highlight w:val="none"/>
        </w:rPr>
        <w:t>实现</w:t>
      </w:r>
      <w:r>
        <w:rPr>
          <w:rFonts w:hint="eastAsia" w:eastAsia="仿宋_GB2312"/>
          <w:color w:val="auto"/>
          <w:highlight w:val="none"/>
          <w:lang w:eastAsia="zh-CN"/>
        </w:rPr>
        <w:t>“</w:t>
      </w:r>
      <w:r>
        <w:rPr>
          <w:rFonts w:hint="eastAsia" w:eastAsia="仿宋_GB2312"/>
          <w:color w:val="auto"/>
          <w:highlight w:val="none"/>
        </w:rPr>
        <w:t>十四五</w:t>
      </w:r>
      <w:r>
        <w:rPr>
          <w:rFonts w:hint="eastAsia" w:eastAsia="仿宋_GB2312"/>
          <w:color w:val="auto"/>
          <w:highlight w:val="none"/>
          <w:lang w:eastAsia="zh-CN"/>
        </w:rPr>
        <w:t>”</w:t>
      </w:r>
      <w:r>
        <w:rPr>
          <w:rFonts w:hint="eastAsia" w:eastAsia="仿宋_GB2312"/>
          <w:color w:val="auto"/>
          <w:highlight w:val="none"/>
        </w:rPr>
        <w:t>规划和</w:t>
      </w:r>
      <w:r>
        <w:rPr>
          <w:rFonts w:eastAsia="仿宋_GB2312"/>
          <w:color w:val="auto"/>
          <w:highlight w:val="none"/>
        </w:rPr>
        <w:t>2035</w:t>
      </w:r>
      <w:r>
        <w:rPr>
          <w:rFonts w:hint="eastAsia" w:eastAsia="仿宋_GB2312"/>
          <w:color w:val="auto"/>
          <w:highlight w:val="none"/>
        </w:rPr>
        <w:t>年远景目标，使命光荣、责任重大。全市各级党组织和广大干部群众要切实增强使命感和责任感，更加紧密地团结在以习近平同志为核心的党中央周围，坚持以习近平新时代中国特色社会主义思想为指导，全面落实省委</w:t>
      </w:r>
      <w:r>
        <w:rPr>
          <w:rFonts w:hint="eastAsia" w:eastAsia="仿宋_GB2312"/>
          <w:color w:val="auto"/>
          <w:highlight w:val="none"/>
          <w:lang w:eastAsia="zh-CN"/>
        </w:rPr>
        <w:t>、</w:t>
      </w:r>
      <w:r>
        <w:rPr>
          <w:rFonts w:hint="eastAsia" w:eastAsia="仿宋_GB2312"/>
          <w:color w:val="auto"/>
          <w:highlight w:val="none"/>
        </w:rPr>
        <w:t>省政府工作要求，在市委坚强领导下，团结一心，苦干实干，开拓创新、努力拼搏，加快</w:t>
      </w:r>
      <w:r>
        <w:rPr>
          <w:rFonts w:hint="eastAsia" w:eastAsia="仿宋_GB2312"/>
          <w:color w:val="auto"/>
          <w:highlight w:val="none"/>
          <w:lang w:eastAsia="zh-CN"/>
        </w:rPr>
        <w:t>全面</w:t>
      </w:r>
      <w:r>
        <w:rPr>
          <w:rFonts w:hint="eastAsia" w:eastAsia="仿宋_GB2312"/>
          <w:color w:val="auto"/>
          <w:highlight w:val="none"/>
        </w:rPr>
        <w:t>建设现代化国际化沿海强市、美丽港城，在全面建设社会主义现代化国家和经济强省、美丽河北的新征程中谱写秦皇岛时代篇章！</w:t>
      </w:r>
    </w:p>
    <w:sectPr>
      <w:footerReference r:id="rId6" w:type="default"/>
      <w:footerReference r:id="rId7" w:type="even"/>
      <w:pgSz w:w="11906" w:h="16838"/>
      <w:pgMar w:top="2098" w:right="1474" w:bottom="1871"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MingLiUfalt">
    <w:altName w:val="Microsoft JhengHei"/>
    <w:panose1 w:val="00000000000000000000"/>
    <w:charset w:val="88"/>
    <w:family w:val="decorative"/>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书宋简体">
    <w:panose1 w:val="02010601030101010101"/>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9500A">
    <w:pPr>
      <w:pStyle w:val="8"/>
      <w:ind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73E9A">
    <w:pPr>
      <w:pStyle w:val="8"/>
      <w:ind w:left="720" w:right="270"/>
      <w:rPr>
        <w:sz w:val="24"/>
        <w:szCs w:val="24"/>
      </w:rPr>
    </w:pPr>
  </w:p>
  <w:p w14:paraId="44430658">
    <w:pPr>
      <w:pStyle w:val="8"/>
      <w:ind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85BED">
    <w:pPr>
      <w:pStyle w:val="8"/>
      <w:ind w:right="360" w:firstLine="360"/>
      <w:rPr>
        <w:sz w:val="24"/>
        <w:szCs w:val="24"/>
      </w:rPr>
    </w:pPr>
  </w:p>
  <w:p w14:paraId="73E657D6">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E9A41">
    <w:pPr>
      <w:pStyle w:val="8"/>
      <w:framePr w:wrap="around" w:vAnchor="text" w:hAnchor="margin" w:xAlign="outside" w:y="1"/>
    </w:pPr>
    <w:r>
      <w:rPr>
        <w:rStyle w:val="21"/>
        <w:rFonts w:ascii="方正书宋简体" w:eastAsia="方正书宋简体"/>
        <w:sz w:val="24"/>
        <w:szCs w:val="24"/>
      </w:rPr>
      <w:t xml:space="preserve">— </w:t>
    </w:r>
    <w:r>
      <w:rPr>
        <w:rStyle w:val="21"/>
        <w:rFonts w:ascii="方正书宋简体" w:eastAsia="方正书宋简体"/>
        <w:sz w:val="24"/>
        <w:szCs w:val="24"/>
      </w:rPr>
      <w:fldChar w:fldCharType="begin"/>
    </w:r>
    <w:r>
      <w:rPr>
        <w:rStyle w:val="21"/>
        <w:rFonts w:ascii="方正书宋简体" w:eastAsia="方正书宋简体"/>
        <w:sz w:val="24"/>
        <w:szCs w:val="24"/>
      </w:rPr>
      <w:instrText xml:space="preserve">PAGE  </w:instrText>
    </w:r>
    <w:r>
      <w:rPr>
        <w:rStyle w:val="21"/>
        <w:rFonts w:ascii="方正书宋简体" w:eastAsia="方正书宋简体"/>
        <w:sz w:val="24"/>
        <w:szCs w:val="24"/>
      </w:rPr>
      <w:fldChar w:fldCharType="separate"/>
    </w:r>
    <w:r>
      <w:rPr>
        <w:rStyle w:val="21"/>
        <w:rFonts w:ascii="方正书宋简体" w:eastAsia="方正书宋简体"/>
        <w:sz w:val="24"/>
        <w:szCs w:val="24"/>
      </w:rPr>
      <w:t>1</w:t>
    </w:r>
    <w:r>
      <w:rPr>
        <w:rStyle w:val="21"/>
        <w:rFonts w:ascii="方正书宋简体" w:eastAsia="方正书宋简体"/>
        <w:sz w:val="24"/>
        <w:szCs w:val="24"/>
      </w:rPr>
      <w:fldChar w:fldCharType="end"/>
    </w:r>
    <w:r>
      <w:rPr>
        <w:rStyle w:val="21"/>
        <w:rFonts w:ascii="方正书宋简体" w:eastAsia="方正书宋简体"/>
        <w:sz w:val="24"/>
        <w:szCs w:val="24"/>
      </w:rPr>
      <w:t xml:space="preserve"> —</w:t>
    </w:r>
  </w:p>
  <w:p w14:paraId="0A1772EB">
    <w:pPr>
      <w:pStyle w:val="8"/>
      <w:ind w:left="360" w:right="360" w:firstLine="360"/>
      <w:jc w:val="right"/>
      <w:rPr>
        <w:sz w:val="24"/>
        <w:szCs w:val="24"/>
      </w:rPr>
    </w:pPr>
  </w:p>
  <w:p w14:paraId="49B6399C">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DEA1F">
    <w:pPr>
      <w:pStyle w:val="8"/>
      <w:framePr w:wrap="around" w:vAnchor="text" w:hAnchor="margin" w:xAlign="outside" w:y="1"/>
      <w:rPr>
        <w:rStyle w:val="21"/>
        <w:rFonts w:ascii="方正书宋简体" w:eastAsia="方正书宋简体"/>
        <w:sz w:val="24"/>
        <w:szCs w:val="24"/>
      </w:rPr>
    </w:pPr>
    <w:r>
      <w:rPr>
        <w:rStyle w:val="21"/>
        <w:rFonts w:ascii="方正书宋简体" w:eastAsia="方正书宋简体"/>
        <w:sz w:val="24"/>
        <w:szCs w:val="24"/>
      </w:rPr>
      <w:t xml:space="preserve">— </w:t>
    </w:r>
    <w:r>
      <w:rPr>
        <w:rStyle w:val="21"/>
        <w:rFonts w:ascii="方正书宋简体" w:eastAsia="方正书宋简体"/>
        <w:sz w:val="24"/>
        <w:szCs w:val="24"/>
      </w:rPr>
      <w:fldChar w:fldCharType="begin"/>
    </w:r>
    <w:r>
      <w:rPr>
        <w:rStyle w:val="21"/>
        <w:rFonts w:ascii="方正书宋简体" w:eastAsia="方正书宋简体"/>
        <w:sz w:val="24"/>
        <w:szCs w:val="24"/>
      </w:rPr>
      <w:instrText xml:space="preserve">PAGE  </w:instrText>
    </w:r>
    <w:r>
      <w:rPr>
        <w:rStyle w:val="21"/>
        <w:rFonts w:ascii="方正书宋简体" w:eastAsia="方正书宋简体"/>
        <w:sz w:val="24"/>
        <w:szCs w:val="24"/>
      </w:rPr>
      <w:fldChar w:fldCharType="separate"/>
    </w:r>
    <w:r>
      <w:rPr>
        <w:rStyle w:val="21"/>
        <w:rFonts w:ascii="方正书宋简体" w:eastAsia="方正书宋简体"/>
        <w:sz w:val="24"/>
        <w:szCs w:val="24"/>
      </w:rPr>
      <w:t>2</w:t>
    </w:r>
    <w:r>
      <w:rPr>
        <w:rStyle w:val="21"/>
        <w:rFonts w:ascii="方正书宋简体" w:eastAsia="方正书宋简体"/>
        <w:sz w:val="24"/>
        <w:szCs w:val="24"/>
      </w:rPr>
      <w:fldChar w:fldCharType="end"/>
    </w:r>
    <w:r>
      <w:rPr>
        <w:rStyle w:val="21"/>
        <w:rFonts w:ascii="方正书宋简体" w:eastAsia="方正书宋简体"/>
        <w:sz w:val="24"/>
        <w:szCs w:val="24"/>
      </w:rPr>
      <w:t xml:space="preserve"> —</w:t>
    </w:r>
  </w:p>
  <w:p w14:paraId="0867385E">
    <w:pPr>
      <w:pStyle w:val="8"/>
      <w:ind w:right="360" w:firstLine="360"/>
      <w:rPr>
        <w:sz w:val="24"/>
        <w:szCs w:val="24"/>
      </w:rPr>
    </w:pPr>
  </w:p>
  <w:p w14:paraId="354084FD">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05999A"/>
    <w:multiLevelType w:val="singleLevel"/>
    <w:tmpl w:val="6605999A"/>
    <w:lvl w:ilvl="0" w:tentative="0">
      <w:start w:val="4"/>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NzljMGI1M2E0N2I0ZmNmYjdlNjc0OWUwYjUyYzgifQ=="/>
  </w:docVars>
  <w:rsids>
    <w:rsidRoot w:val="21854259"/>
    <w:rsid w:val="0000218D"/>
    <w:rsid w:val="00003AC6"/>
    <w:rsid w:val="00003D52"/>
    <w:rsid w:val="0000621D"/>
    <w:rsid w:val="000102FB"/>
    <w:rsid w:val="00011C53"/>
    <w:rsid w:val="00014AED"/>
    <w:rsid w:val="000152EF"/>
    <w:rsid w:val="00021562"/>
    <w:rsid w:val="00021782"/>
    <w:rsid w:val="00025083"/>
    <w:rsid w:val="00026A12"/>
    <w:rsid w:val="000279E1"/>
    <w:rsid w:val="00027D21"/>
    <w:rsid w:val="0003204B"/>
    <w:rsid w:val="00032FD6"/>
    <w:rsid w:val="00035F09"/>
    <w:rsid w:val="00040664"/>
    <w:rsid w:val="000419CE"/>
    <w:rsid w:val="0004289D"/>
    <w:rsid w:val="00045727"/>
    <w:rsid w:val="0004683E"/>
    <w:rsid w:val="00050B6A"/>
    <w:rsid w:val="00051F7E"/>
    <w:rsid w:val="00056E70"/>
    <w:rsid w:val="00060189"/>
    <w:rsid w:val="00064A46"/>
    <w:rsid w:val="0006578C"/>
    <w:rsid w:val="00070B6F"/>
    <w:rsid w:val="000779BF"/>
    <w:rsid w:val="00084FCB"/>
    <w:rsid w:val="0008607C"/>
    <w:rsid w:val="000865B2"/>
    <w:rsid w:val="00086BC4"/>
    <w:rsid w:val="00087401"/>
    <w:rsid w:val="000963D2"/>
    <w:rsid w:val="000A23C2"/>
    <w:rsid w:val="000A244A"/>
    <w:rsid w:val="000A40A8"/>
    <w:rsid w:val="000A5889"/>
    <w:rsid w:val="000A5B5E"/>
    <w:rsid w:val="000C4E9D"/>
    <w:rsid w:val="000C5373"/>
    <w:rsid w:val="000C6A27"/>
    <w:rsid w:val="000D25B2"/>
    <w:rsid w:val="000D263A"/>
    <w:rsid w:val="000D4846"/>
    <w:rsid w:val="000D582C"/>
    <w:rsid w:val="000D63B2"/>
    <w:rsid w:val="000E0CCB"/>
    <w:rsid w:val="000E2E3D"/>
    <w:rsid w:val="000E3C9F"/>
    <w:rsid w:val="000E4F90"/>
    <w:rsid w:val="000E5036"/>
    <w:rsid w:val="000E536D"/>
    <w:rsid w:val="000E54E8"/>
    <w:rsid w:val="000E5A94"/>
    <w:rsid w:val="000E726F"/>
    <w:rsid w:val="000F493C"/>
    <w:rsid w:val="00100DAF"/>
    <w:rsid w:val="001015C3"/>
    <w:rsid w:val="00102335"/>
    <w:rsid w:val="00104C97"/>
    <w:rsid w:val="00104EA3"/>
    <w:rsid w:val="00104EF0"/>
    <w:rsid w:val="00105C67"/>
    <w:rsid w:val="001065B2"/>
    <w:rsid w:val="00110B21"/>
    <w:rsid w:val="00111B0D"/>
    <w:rsid w:val="001133B4"/>
    <w:rsid w:val="00114466"/>
    <w:rsid w:val="00123293"/>
    <w:rsid w:val="00123DC5"/>
    <w:rsid w:val="00123FD6"/>
    <w:rsid w:val="00124DEE"/>
    <w:rsid w:val="00124E66"/>
    <w:rsid w:val="00125A51"/>
    <w:rsid w:val="00125B73"/>
    <w:rsid w:val="0012618B"/>
    <w:rsid w:val="00130E8A"/>
    <w:rsid w:val="00133E8F"/>
    <w:rsid w:val="00134BBF"/>
    <w:rsid w:val="00135DA9"/>
    <w:rsid w:val="001360DC"/>
    <w:rsid w:val="00136836"/>
    <w:rsid w:val="00141B0C"/>
    <w:rsid w:val="00143B9E"/>
    <w:rsid w:val="0014724B"/>
    <w:rsid w:val="00147B2B"/>
    <w:rsid w:val="00147CE8"/>
    <w:rsid w:val="00152D1D"/>
    <w:rsid w:val="00156B69"/>
    <w:rsid w:val="00157784"/>
    <w:rsid w:val="00160CD1"/>
    <w:rsid w:val="0016699A"/>
    <w:rsid w:val="00170F2D"/>
    <w:rsid w:val="00171376"/>
    <w:rsid w:val="001726EF"/>
    <w:rsid w:val="00172DBA"/>
    <w:rsid w:val="00173BF0"/>
    <w:rsid w:val="001745DA"/>
    <w:rsid w:val="00177A3B"/>
    <w:rsid w:val="001812EB"/>
    <w:rsid w:val="001852F3"/>
    <w:rsid w:val="00185BCD"/>
    <w:rsid w:val="00186F75"/>
    <w:rsid w:val="00187EAA"/>
    <w:rsid w:val="00191A50"/>
    <w:rsid w:val="00191C02"/>
    <w:rsid w:val="00195DA4"/>
    <w:rsid w:val="00196F27"/>
    <w:rsid w:val="001A022F"/>
    <w:rsid w:val="001A5E75"/>
    <w:rsid w:val="001A69A0"/>
    <w:rsid w:val="001A6D37"/>
    <w:rsid w:val="001A7A20"/>
    <w:rsid w:val="001B0C8B"/>
    <w:rsid w:val="001B14CA"/>
    <w:rsid w:val="001B2DE1"/>
    <w:rsid w:val="001B57E7"/>
    <w:rsid w:val="001B72C4"/>
    <w:rsid w:val="001C1AEF"/>
    <w:rsid w:val="001C25DD"/>
    <w:rsid w:val="001C26A6"/>
    <w:rsid w:val="001C622A"/>
    <w:rsid w:val="001C6DBE"/>
    <w:rsid w:val="001C6F03"/>
    <w:rsid w:val="001D0C06"/>
    <w:rsid w:val="001D59A8"/>
    <w:rsid w:val="001D7130"/>
    <w:rsid w:val="001D7653"/>
    <w:rsid w:val="001D7FC4"/>
    <w:rsid w:val="001E0866"/>
    <w:rsid w:val="001E1E60"/>
    <w:rsid w:val="001E2C11"/>
    <w:rsid w:val="001E3412"/>
    <w:rsid w:val="001E5318"/>
    <w:rsid w:val="001F169E"/>
    <w:rsid w:val="001F26E6"/>
    <w:rsid w:val="001F4758"/>
    <w:rsid w:val="001F4BC8"/>
    <w:rsid w:val="001F5FF0"/>
    <w:rsid w:val="001F676E"/>
    <w:rsid w:val="0020124B"/>
    <w:rsid w:val="00202F91"/>
    <w:rsid w:val="00203EAF"/>
    <w:rsid w:val="00204BBF"/>
    <w:rsid w:val="0020577A"/>
    <w:rsid w:val="0021129C"/>
    <w:rsid w:val="00214F0E"/>
    <w:rsid w:val="00216786"/>
    <w:rsid w:val="00220EBF"/>
    <w:rsid w:val="0022112D"/>
    <w:rsid w:val="00222566"/>
    <w:rsid w:val="00223A63"/>
    <w:rsid w:val="0022498D"/>
    <w:rsid w:val="002273A0"/>
    <w:rsid w:val="00230160"/>
    <w:rsid w:val="00231D92"/>
    <w:rsid w:val="00232390"/>
    <w:rsid w:val="00233412"/>
    <w:rsid w:val="0023442B"/>
    <w:rsid w:val="002348AC"/>
    <w:rsid w:val="002348FD"/>
    <w:rsid w:val="002417A3"/>
    <w:rsid w:val="002427BC"/>
    <w:rsid w:val="002435B9"/>
    <w:rsid w:val="0024531B"/>
    <w:rsid w:val="0024690A"/>
    <w:rsid w:val="0024775D"/>
    <w:rsid w:val="00247BEF"/>
    <w:rsid w:val="00253AB7"/>
    <w:rsid w:val="002569FC"/>
    <w:rsid w:val="00256BFB"/>
    <w:rsid w:val="00262804"/>
    <w:rsid w:val="00264B80"/>
    <w:rsid w:val="00264F27"/>
    <w:rsid w:val="00266C93"/>
    <w:rsid w:val="0027250A"/>
    <w:rsid w:val="0027299F"/>
    <w:rsid w:val="00274A30"/>
    <w:rsid w:val="00276793"/>
    <w:rsid w:val="0027704A"/>
    <w:rsid w:val="00283A1C"/>
    <w:rsid w:val="00283B44"/>
    <w:rsid w:val="00284B50"/>
    <w:rsid w:val="0029060C"/>
    <w:rsid w:val="00291B65"/>
    <w:rsid w:val="00293072"/>
    <w:rsid w:val="002943E1"/>
    <w:rsid w:val="002960A0"/>
    <w:rsid w:val="00297067"/>
    <w:rsid w:val="002973C4"/>
    <w:rsid w:val="0029741A"/>
    <w:rsid w:val="002A10AB"/>
    <w:rsid w:val="002A1D29"/>
    <w:rsid w:val="002A255A"/>
    <w:rsid w:val="002A3356"/>
    <w:rsid w:val="002A4509"/>
    <w:rsid w:val="002A4566"/>
    <w:rsid w:val="002A5678"/>
    <w:rsid w:val="002A71FC"/>
    <w:rsid w:val="002A76F9"/>
    <w:rsid w:val="002A7A66"/>
    <w:rsid w:val="002B58BE"/>
    <w:rsid w:val="002B73FD"/>
    <w:rsid w:val="002C0BB3"/>
    <w:rsid w:val="002C1AB5"/>
    <w:rsid w:val="002C2177"/>
    <w:rsid w:val="002C3D0C"/>
    <w:rsid w:val="002C46C3"/>
    <w:rsid w:val="002C5F83"/>
    <w:rsid w:val="002C78B7"/>
    <w:rsid w:val="002D12D7"/>
    <w:rsid w:val="002D1A3F"/>
    <w:rsid w:val="002D1C7F"/>
    <w:rsid w:val="002D28E9"/>
    <w:rsid w:val="002D415E"/>
    <w:rsid w:val="002D4164"/>
    <w:rsid w:val="002D7ECE"/>
    <w:rsid w:val="002E0CC5"/>
    <w:rsid w:val="002E417A"/>
    <w:rsid w:val="002E78B0"/>
    <w:rsid w:val="002F54C5"/>
    <w:rsid w:val="002F6FD5"/>
    <w:rsid w:val="003013B8"/>
    <w:rsid w:val="003015DA"/>
    <w:rsid w:val="0030254F"/>
    <w:rsid w:val="003036EC"/>
    <w:rsid w:val="003105E4"/>
    <w:rsid w:val="00310A74"/>
    <w:rsid w:val="003148D7"/>
    <w:rsid w:val="00314C7A"/>
    <w:rsid w:val="00315239"/>
    <w:rsid w:val="00316DED"/>
    <w:rsid w:val="00317A7D"/>
    <w:rsid w:val="003218A4"/>
    <w:rsid w:val="00321CDC"/>
    <w:rsid w:val="003241C3"/>
    <w:rsid w:val="00330888"/>
    <w:rsid w:val="00331FBE"/>
    <w:rsid w:val="00335FC0"/>
    <w:rsid w:val="0033673B"/>
    <w:rsid w:val="0034108C"/>
    <w:rsid w:val="0034244A"/>
    <w:rsid w:val="00347405"/>
    <w:rsid w:val="00347C57"/>
    <w:rsid w:val="00350994"/>
    <w:rsid w:val="00351CA5"/>
    <w:rsid w:val="00352A34"/>
    <w:rsid w:val="0035338F"/>
    <w:rsid w:val="00366361"/>
    <w:rsid w:val="0037051E"/>
    <w:rsid w:val="00371427"/>
    <w:rsid w:val="0037383A"/>
    <w:rsid w:val="00374D4B"/>
    <w:rsid w:val="003770DA"/>
    <w:rsid w:val="00380557"/>
    <w:rsid w:val="0038191D"/>
    <w:rsid w:val="00382289"/>
    <w:rsid w:val="003826D6"/>
    <w:rsid w:val="00382A55"/>
    <w:rsid w:val="003856E2"/>
    <w:rsid w:val="00385966"/>
    <w:rsid w:val="00394ADA"/>
    <w:rsid w:val="003977C4"/>
    <w:rsid w:val="003A0D1C"/>
    <w:rsid w:val="003A21B0"/>
    <w:rsid w:val="003A32BC"/>
    <w:rsid w:val="003A59D2"/>
    <w:rsid w:val="003A6B17"/>
    <w:rsid w:val="003B26EA"/>
    <w:rsid w:val="003B76A0"/>
    <w:rsid w:val="003C3281"/>
    <w:rsid w:val="003C39F5"/>
    <w:rsid w:val="003C3EBA"/>
    <w:rsid w:val="003D2882"/>
    <w:rsid w:val="003D3D91"/>
    <w:rsid w:val="003D5AD3"/>
    <w:rsid w:val="003E0F2D"/>
    <w:rsid w:val="003E35A6"/>
    <w:rsid w:val="003E3BF9"/>
    <w:rsid w:val="003E4164"/>
    <w:rsid w:val="003E4C02"/>
    <w:rsid w:val="003E5956"/>
    <w:rsid w:val="003E6929"/>
    <w:rsid w:val="003F00B9"/>
    <w:rsid w:val="003F0229"/>
    <w:rsid w:val="003F3090"/>
    <w:rsid w:val="003F4CD9"/>
    <w:rsid w:val="003F4FBE"/>
    <w:rsid w:val="003F51E1"/>
    <w:rsid w:val="003F6768"/>
    <w:rsid w:val="0040128E"/>
    <w:rsid w:val="00402BC0"/>
    <w:rsid w:val="00404310"/>
    <w:rsid w:val="00404AAF"/>
    <w:rsid w:val="004072D9"/>
    <w:rsid w:val="00410606"/>
    <w:rsid w:val="004117A9"/>
    <w:rsid w:val="0041267C"/>
    <w:rsid w:val="004131BD"/>
    <w:rsid w:val="004208EA"/>
    <w:rsid w:val="00420DE0"/>
    <w:rsid w:val="00420FDD"/>
    <w:rsid w:val="004241AB"/>
    <w:rsid w:val="004265BA"/>
    <w:rsid w:val="004273D2"/>
    <w:rsid w:val="00431E74"/>
    <w:rsid w:val="00431FCB"/>
    <w:rsid w:val="00432328"/>
    <w:rsid w:val="00432A4E"/>
    <w:rsid w:val="00435375"/>
    <w:rsid w:val="00441E0D"/>
    <w:rsid w:val="0044422B"/>
    <w:rsid w:val="004448E9"/>
    <w:rsid w:val="004507D8"/>
    <w:rsid w:val="004507F2"/>
    <w:rsid w:val="0045127B"/>
    <w:rsid w:val="004513D2"/>
    <w:rsid w:val="00453F93"/>
    <w:rsid w:val="00454247"/>
    <w:rsid w:val="00457C42"/>
    <w:rsid w:val="00462AA1"/>
    <w:rsid w:val="00462F85"/>
    <w:rsid w:val="00463A2B"/>
    <w:rsid w:val="00466A5D"/>
    <w:rsid w:val="004679D7"/>
    <w:rsid w:val="0047209B"/>
    <w:rsid w:val="004741EC"/>
    <w:rsid w:val="00475573"/>
    <w:rsid w:val="00476BA9"/>
    <w:rsid w:val="00477BF2"/>
    <w:rsid w:val="00490CAE"/>
    <w:rsid w:val="00492048"/>
    <w:rsid w:val="00493E56"/>
    <w:rsid w:val="004969D4"/>
    <w:rsid w:val="00496A22"/>
    <w:rsid w:val="00496FB4"/>
    <w:rsid w:val="00497A45"/>
    <w:rsid w:val="004A002B"/>
    <w:rsid w:val="004A4267"/>
    <w:rsid w:val="004A7149"/>
    <w:rsid w:val="004A78AA"/>
    <w:rsid w:val="004A7923"/>
    <w:rsid w:val="004B388C"/>
    <w:rsid w:val="004C2080"/>
    <w:rsid w:val="004C6D2B"/>
    <w:rsid w:val="004D5382"/>
    <w:rsid w:val="004D605C"/>
    <w:rsid w:val="004E2628"/>
    <w:rsid w:val="004E2D7C"/>
    <w:rsid w:val="004E5ECA"/>
    <w:rsid w:val="004E6239"/>
    <w:rsid w:val="004E6968"/>
    <w:rsid w:val="004E7DBC"/>
    <w:rsid w:val="004E7F82"/>
    <w:rsid w:val="004F0F69"/>
    <w:rsid w:val="004F125B"/>
    <w:rsid w:val="004F168A"/>
    <w:rsid w:val="004F44E2"/>
    <w:rsid w:val="004F52EF"/>
    <w:rsid w:val="004F531A"/>
    <w:rsid w:val="004F5428"/>
    <w:rsid w:val="004F5A45"/>
    <w:rsid w:val="004F7B11"/>
    <w:rsid w:val="00501688"/>
    <w:rsid w:val="00501E07"/>
    <w:rsid w:val="00504869"/>
    <w:rsid w:val="00504A8C"/>
    <w:rsid w:val="00505A4A"/>
    <w:rsid w:val="00506FD8"/>
    <w:rsid w:val="00514875"/>
    <w:rsid w:val="00516D31"/>
    <w:rsid w:val="00516FBF"/>
    <w:rsid w:val="00523215"/>
    <w:rsid w:val="00524637"/>
    <w:rsid w:val="00524E58"/>
    <w:rsid w:val="00527544"/>
    <w:rsid w:val="00530CA5"/>
    <w:rsid w:val="00535DA6"/>
    <w:rsid w:val="005365D5"/>
    <w:rsid w:val="0053696E"/>
    <w:rsid w:val="005421EE"/>
    <w:rsid w:val="005426FF"/>
    <w:rsid w:val="00542750"/>
    <w:rsid w:val="0054424F"/>
    <w:rsid w:val="0054554B"/>
    <w:rsid w:val="005475A7"/>
    <w:rsid w:val="00550542"/>
    <w:rsid w:val="005518C8"/>
    <w:rsid w:val="00551E5E"/>
    <w:rsid w:val="00554F13"/>
    <w:rsid w:val="00556824"/>
    <w:rsid w:val="00561F6C"/>
    <w:rsid w:val="0056371A"/>
    <w:rsid w:val="0056403A"/>
    <w:rsid w:val="00566A10"/>
    <w:rsid w:val="005670A9"/>
    <w:rsid w:val="0057034C"/>
    <w:rsid w:val="00571BC8"/>
    <w:rsid w:val="0057420F"/>
    <w:rsid w:val="0057442D"/>
    <w:rsid w:val="00577C6B"/>
    <w:rsid w:val="005840AB"/>
    <w:rsid w:val="005848CE"/>
    <w:rsid w:val="005860DF"/>
    <w:rsid w:val="00586B61"/>
    <w:rsid w:val="00586B86"/>
    <w:rsid w:val="00587504"/>
    <w:rsid w:val="00590EBA"/>
    <w:rsid w:val="00591313"/>
    <w:rsid w:val="00591839"/>
    <w:rsid w:val="00592BAA"/>
    <w:rsid w:val="0059363B"/>
    <w:rsid w:val="0059657A"/>
    <w:rsid w:val="005A215F"/>
    <w:rsid w:val="005A3C65"/>
    <w:rsid w:val="005A5CE1"/>
    <w:rsid w:val="005A770B"/>
    <w:rsid w:val="005B107E"/>
    <w:rsid w:val="005B509A"/>
    <w:rsid w:val="005B5A29"/>
    <w:rsid w:val="005B6533"/>
    <w:rsid w:val="005B7781"/>
    <w:rsid w:val="005C0368"/>
    <w:rsid w:val="005C0B37"/>
    <w:rsid w:val="005C39E7"/>
    <w:rsid w:val="005C4CDD"/>
    <w:rsid w:val="005D0B3A"/>
    <w:rsid w:val="005D14FD"/>
    <w:rsid w:val="005D178A"/>
    <w:rsid w:val="005D1CF5"/>
    <w:rsid w:val="005D1E33"/>
    <w:rsid w:val="005D251B"/>
    <w:rsid w:val="005D439F"/>
    <w:rsid w:val="005D4ACF"/>
    <w:rsid w:val="005D5A53"/>
    <w:rsid w:val="005D6091"/>
    <w:rsid w:val="005D6866"/>
    <w:rsid w:val="005E0448"/>
    <w:rsid w:val="005E3530"/>
    <w:rsid w:val="005E4398"/>
    <w:rsid w:val="005E487C"/>
    <w:rsid w:val="005E4F21"/>
    <w:rsid w:val="005E6675"/>
    <w:rsid w:val="005E7985"/>
    <w:rsid w:val="005F1980"/>
    <w:rsid w:val="005F2E13"/>
    <w:rsid w:val="005F31B7"/>
    <w:rsid w:val="005F486E"/>
    <w:rsid w:val="005F6AC6"/>
    <w:rsid w:val="005F750D"/>
    <w:rsid w:val="00602787"/>
    <w:rsid w:val="0060445A"/>
    <w:rsid w:val="0060478E"/>
    <w:rsid w:val="00605766"/>
    <w:rsid w:val="006103BF"/>
    <w:rsid w:val="00611A29"/>
    <w:rsid w:val="00613B01"/>
    <w:rsid w:val="00614446"/>
    <w:rsid w:val="006156CB"/>
    <w:rsid w:val="00621AC4"/>
    <w:rsid w:val="00625925"/>
    <w:rsid w:val="00625F84"/>
    <w:rsid w:val="006265C9"/>
    <w:rsid w:val="006313C2"/>
    <w:rsid w:val="0063242B"/>
    <w:rsid w:val="006328DF"/>
    <w:rsid w:val="0063694F"/>
    <w:rsid w:val="0063698F"/>
    <w:rsid w:val="00641C52"/>
    <w:rsid w:val="00641E31"/>
    <w:rsid w:val="00647B3B"/>
    <w:rsid w:val="00653B34"/>
    <w:rsid w:val="00653EB7"/>
    <w:rsid w:val="00654A71"/>
    <w:rsid w:val="00656042"/>
    <w:rsid w:val="006563F6"/>
    <w:rsid w:val="0066012D"/>
    <w:rsid w:val="00660B79"/>
    <w:rsid w:val="00661552"/>
    <w:rsid w:val="00662E1C"/>
    <w:rsid w:val="00664D45"/>
    <w:rsid w:val="00665127"/>
    <w:rsid w:val="0066715B"/>
    <w:rsid w:val="00667D4C"/>
    <w:rsid w:val="00670C64"/>
    <w:rsid w:val="0067105E"/>
    <w:rsid w:val="00673111"/>
    <w:rsid w:val="00673D82"/>
    <w:rsid w:val="00675B59"/>
    <w:rsid w:val="006767CD"/>
    <w:rsid w:val="0067736D"/>
    <w:rsid w:val="006828B0"/>
    <w:rsid w:val="00690302"/>
    <w:rsid w:val="00690C09"/>
    <w:rsid w:val="00691478"/>
    <w:rsid w:val="00693971"/>
    <w:rsid w:val="00696F6C"/>
    <w:rsid w:val="006A196B"/>
    <w:rsid w:val="006A6924"/>
    <w:rsid w:val="006B4230"/>
    <w:rsid w:val="006B6B25"/>
    <w:rsid w:val="006C007C"/>
    <w:rsid w:val="006C01F4"/>
    <w:rsid w:val="006C1B7D"/>
    <w:rsid w:val="006C1CC7"/>
    <w:rsid w:val="006C3BA0"/>
    <w:rsid w:val="006D315F"/>
    <w:rsid w:val="006D383B"/>
    <w:rsid w:val="006D75D7"/>
    <w:rsid w:val="006D79CD"/>
    <w:rsid w:val="006E08A1"/>
    <w:rsid w:val="006E10C2"/>
    <w:rsid w:val="006E2058"/>
    <w:rsid w:val="006E329D"/>
    <w:rsid w:val="006E44C1"/>
    <w:rsid w:val="006E46E5"/>
    <w:rsid w:val="006F147E"/>
    <w:rsid w:val="006F5EC8"/>
    <w:rsid w:val="006F78A7"/>
    <w:rsid w:val="007013C4"/>
    <w:rsid w:val="00712169"/>
    <w:rsid w:val="0071640E"/>
    <w:rsid w:val="0072044A"/>
    <w:rsid w:val="007227DB"/>
    <w:rsid w:val="00722B9D"/>
    <w:rsid w:val="0072518C"/>
    <w:rsid w:val="00725B95"/>
    <w:rsid w:val="0072622F"/>
    <w:rsid w:val="0073111F"/>
    <w:rsid w:val="00731630"/>
    <w:rsid w:val="00732925"/>
    <w:rsid w:val="00732BC5"/>
    <w:rsid w:val="00733822"/>
    <w:rsid w:val="00734BCA"/>
    <w:rsid w:val="00741C5F"/>
    <w:rsid w:val="007461F9"/>
    <w:rsid w:val="00746D79"/>
    <w:rsid w:val="00750DA7"/>
    <w:rsid w:val="00751577"/>
    <w:rsid w:val="00751885"/>
    <w:rsid w:val="0075409C"/>
    <w:rsid w:val="00755153"/>
    <w:rsid w:val="00756A46"/>
    <w:rsid w:val="00760815"/>
    <w:rsid w:val="00760C64"/>
    <w:rsid w:val="007621AD"/>
    <w:rsid w:val="00765501"/>
    <w:rsid w:val="00765A0C"/>
    <w:rsid w:val="0077163F"/>
    <w:rsid w:val="007724BB"/>
    <w:rsid w:val="00774225"/>
    <w:rsid w:val="00774C1B"/>
    <w:rsid w:val="00780570"/>
    <w:rsid w:val="00780F4D"/>
    <w:rsid w:val="0078153A"/>
    <w:rsid w:val="007861E7"/>
    <w:rsid w:val="0079153A"/>
    <w:rsid w:val="00793CB3"/>
    <w:rsid w:val="0079694F"/>
    <w:rsid w:val="0079784E"/>
    <w:rsid w:val="007A1321"/>
    <w:rsid w:val="007A2076"/>
    <w:rsid w:val="007A3082"/>
    <w:rsid w:val="007A3993"/>
    <w:rsid w:val="007A3DDA"/>
    <w:rsid w:val="007A55FD"/>
    <w:rsid w:val="007A62B1"/>
    <w:rsid w:val="007A656E"/>
    <w:rsid w:val="007B098E"/>
    <w:rsid w:val="007B0CCB"/>
    <w:rsid w:val="007B13EC"/>
    <w:rsid w:val="007B290C"/>
    <w:rsid w:val="007B37B5"/>
    <w:rsid w:val="007C024A"/>
    <w:rsid w:val="007C08F6"/>
    <w:rsid w:val="007C0F6F"/>
    <w:rsid w:val="007C2C46"/>
    <w:rsid w:val="007C3B39"/>
    <w:rsid w:val="007C5DAA"/>
    <w:rsid w:val="007C6322"/>
    <w:rsid w:val="007C6D75"/>
    <w:rsid w:val="007C7B9B"/>
    <w:rsid w:val="007D18C3"/>
    <w:rsid w:val="007D202B"/>
    <w:rsid w:val="007D2E49"/>
    <w:rsid w:val="007D429B"/>
    <w:rsid w:val="007D74FE"/>
    <w:rsid w:val="007D7CDE"/>
    <w:rsid w:val="007E084E"/>
    <w:rsid w:val="007E357B"/>
    <w:rsid w:val="007E3D6E"/>
    <w:rsid w:val="007E46DC"/>
    <w:rsid w:val="007E4F1D"/>
    <w:rsid w:val="007E52BF"/>
    <w:rsid w:val="007E586A"/>
    <w:rsid w:val="007F0FBA"/>
    <w:rsid w:val="007F53E1"/>
    <w:rsid w:val="007F65AA"/>
    <w:rsid w:val="008007DA"/>
    <w:rsid w:val="00802D4C"/>
    <w:rsid w:val="0080311C"/>
    <w:rsid w:val="00805527"/>
    <w:rsid w:val="0080644F"/>
    <w:rsid w:val="008113B6"/>
    <w:rsid w:val="0081665C"/>
    <w:rsid w:val="0082171E"/>
    <w:rsid w:val="00823088"/>
    <w:rsid w:val="008264BD"/>
    <w:rsid w:val="00827C5D"/>
    <w:rsid w:val="00834037"/>
    <w:rsid w:val="00836A33"/>
    <w:rsid w:val="00837489"/>
    <w:rsid w:val="00841533"/>
    <w:rsid w:val="00847962"/>
    <w:rsid w:val="00852ABA"/>
    <w:rsid w:val="00855074"/>
    <w:rsid w:val="00857D1D"/>
    <w:rsid w:val="00860871"/>
    <w:rsid w:val="00862D3A"/>
    <w:rsid w:val="008634E7"/>
    <w:rsid w:val="0086502C"/>
    <w:rsid w:val="008658E2"/>
    <w:rsid w:val="008702C1"/>
    <w:rsid w:val="00871F4B"/>
    <w:rsid w:val="00881047"/>
    <w:rsid w:val="00881E91"/>
    <w:rsid w:val="0088224B"/>
    <w:rsid w:val="00883D9E"/>
    <w:rsid w:val="00885858"/>
    <w:rsid w:val="008910D9"/>
    <w:rsid w:val="00891F99"/>
    <w:rsid w:val="00893F10"/>
    <w:rsid w:val="0089624C"/>
    <w:rsid w:val="008966C7"/>
    <w:rsid w:val="008A48FA"/>
    <w:rsid w:val="008A70D9"/>
    <w:rsid w:val="008B29AE"/>
    <w:rsid w:val="008B4612"/>
    <w:rsid w:val="008B5A69"/>
    <w:rsid w:val="008B61B9"/>
    <w:rsid w:val="008B7DF9"/>
    <w:rsid w:val="008C2376"/>
    <w:rsid w:val="008C2728"/>
    <w:rsid w:val="008C33CE"/>
    <w:rsid w:val="008D0F5F"/>
    <w:rsid w:val="008D0FC5"/>
    <w:rsid w:val="008D1AA9"/>
    <w:rsid w:val="008D5582"/>
    <w:rsid w:val="008E012B"/>
    <w:rsid w:val="008E0762"/>
    <w:rsid w:val="008E0958"/>
    <w:rsid w:val="008E2D05"/>
    <w:rsid w:val="008E316F"/>
    <w:rsid w:val="008E3333"/>
    <w:rsid w:val="008E3A87"/>
    <w:rsid w:val="008E4FAF"/>
    <w:rsid w:val="008E708F"/>
    <w:rsid w:val="008F122A"/>
    <w:rsid w:val="008F2E56"/>
    <w:rsid w:val="008F3A97"/>
    <w:rsid w:val="008F443A"/>
    <w:rsid w:val="008F5D68"/>
    <w:rsid w:val="008F656A"/>
    <w:rsid w:val="008F705B"/>
    <w:rsid w:val="00900AF4"/>
    <w:rsid w:val="009012F8"/>
    <w:rsid w:val="00901CAC"/>
    <w:rsid w:val="00903C85"/>
    <w:rsid w:val="009057DF"/>
    <w:rsid w:val="00905BDC"/>
    <w:rsid w:val="0090646E"/>
    <w:rsid w:val="0090774E"/>
    <w:rsid w:val="00907EEC"/>
    <w:rsid w:val="00911109"/>
    <w:rsid w:val="0091172A"/>
    <w:rsid w:val="00912C37"/>
    <w:rsid w:val="0091392F"/>
    <w:rsid w:val="0091399C"/>
    <w:rsid w:val="009139AC"/>
    <w:rsid w:val="00920252"/>
    <w:rsid w:val="00921641"/>
    <w:rsid w:val="0092402B"/>
    <w:rsid w:val="0092413F"/>
    <w:rsid w:val="00924493"/>
    <w:rsid w:val="00924959"/>
    <w:rsid w:val="00926C8A"/>
    <w:rsid w:val="00930A2F"/>
    <w:rsid w:val="0093108E"/>
    <w:rsid w:val="0093250F"/>
    <w:rsid w:val="00932669"/>
    <w:rsid w:val="00933D6A"/>
    <w:rsid w:val="00934E9F"/>
    <w:rsid w:val="009358FB"/>
    <w:rsid w:val="00943F56"/>
    <w:rsid w:val="00950432"/>
    <w:rsid w:val="00951A55"/>
    <w:rsid w:val="009524EF"/>
    <w:rsid w:val="009537E9"/>
    <w:rsid w:val="00954F27"/>
    <w:rsid w:val="00955D46"/>
    <w:rsid w:val="009560FF"/>
    <w:rsid w:val="00957A4D"/>
    <w:rsid w:val="009607C7"/>
    <w:rsid w:val="00961137"/>
    <w:rsid w:val="00964763"/>
    <w:rsid w:val="00965DE0"/>
    <w:rsid w:val="0096770A"/>
    <w:rsid w:val="00971C01"/>
    <w:rsid w:val="009733E5"/>
    <w:rsid w:val="00973486"/>
    <w:rsid w:val="009739F6"/>
    <w:rsid w:val="0097578E"/>
    <w:rsid w:val="00976097"/>
    <w:rsid w:val="0097672A"/>
    <w:rsid w:val="00984318"/>
    <w:rsid w:val="00985AD3"/>
    <w:rsid w:val="00991FF6"/>
    <w:rsid w:val="009A020F"/>
    <w:rsid w:val="009A46A1"/>
    <w:rsid w:val="009A5D13"/>
    <w:rsid w:val="009A66E3"/>
    <w:rsid w:val="009B051F"/>
    <w:rsid w:val="009B33E1"/>
    <w:rsid w:val="009B36D9"/>
    <w:rsid w:val="009B37C6"/>
    <w:rsid w:val="009B3948"/>
    <w:rsid w:val="009B39B9"/>
    <w:rsid w:val="009C5817"/>
    <w:rsid w:val="009C76D1"/>
    <w:rsid w:val="009D0EAA"/>
    <w:rsid w:val="009D4DAD"/>
    <w:rsid w:val="009D5373"/>
    <w:rsid w:val="009D6318"/>
    <w:rsid w:val="009D702F"/>
    <w:rsid w:val="009D7D76"/>
    <w:rsid w:val="009E407C"/>
    <w:rsid w:val="009F042F"/>
    <w:rsid w:val="009F0FB5"/>
    <w:rsid w:val="009F7C2B"/>
    <w:rsid w:val="00A00E67"/>
    <w:rsid w:val="00A00F1A"/>
    <w:rsid w:val="00A037A4"/>
    <w:rsid w:val="00A050B5"/>
    <w:rsid w:val="00A055F8"/>
    <w:rsid w:val="00A079F7"/>
    <w:rsid w:val="00A105C5"/>
    <w:rsid w:val="00A10A4F"/>
    <w:rsid w:val="00A10DBC"/>
    <w:rsid w:val="00A1256B"/>
    <w:rsid w:val="00A138F1"/>
    <w:rsid w:val="00A13A81"/>
    <w:rsid w:val="00A14E44"/>
    <w:rsid w:val="00A17D8E"/>
    <w:rsid w:val="00A262BF"/>
    <w:rsid w:val="00A26649"/>
    <w:rsid w:val="00A309DA"/>
    <w:rsid w:val="00A31037"/>
    <w:rsid w:val="00A32132"/>
    <w:rsid w:val="00A33869"/>
    <w:rsid w:val="00A338AB"/>
    <w:rsid w:val="00A33926"/>
    <w:rsid w:val="00A3435A"/>
    <w:rsid w:val="00A37856"/>
    <w:rsid w:val="00A40AE6"/>
    <w:rsid w:val="00A40AEA"/>
    <w:rsid w:val="00A41468"/>
    <w:rsid w:val="00A41F7C"/>
    <w:rsid w:val="00A431F4"/>
    <w:rsid w:val="00A43C99"/>
    <w:rsid w:val="00A4421E"/>
    <w:rsid w:val="00A445FF"/>
    <w:rsid w:val="00A537F8"/>
    <w:rsid w:val="00A5483C"/>
    <w:rsid w:val="00A55DD6"/>
    <w:rsid w:val="00A56E88"/>
    <w:rsid w:val="00A6210C"/>
    <w:rsid w:val="00A63113"/>
    <w:rsid w:val="00A655BF"/>
    <w:rsid w:val="00A65C1A"/>
    <w:rsid w:val="00A65E75"/>
    <w:rsid w:val="00A6618E"/>
    <w:rsid w:val="00A70EFE"/>
    <w:rsid w:val="00A71849"/>
    <w:rsid w:val="00A71F56"/>
    <w:rsid w:val="00A76C68"/>
    <w:rsid w:val="00A80B2A"/>
    <w:rsid w:val="00A8347F"/>
    <w:rsid w:val="00A836B6"/>
    <w:rsid w:val="00A84248"/>
    <w:rsid w:val="00A84F5B"/>
    <w:rsid w:val="00A85203"/>
    <w:rsid w:val="00A860C8"/>
    <w:rsid w:val="00A87A8E"/>
    <w:rsid w:val="00A9239D"/>
    <w:rsid w:val="00A93EC7"/>
    <w:rsid w:val="00A95037"/>
    <w:rsid w:val="00A96351"/>
    <w:rsid w:val="00A96486"/>
    <w:rsid w:val="00A96578"/>
    <w:rsid w:val="00AA2533"/>
    <w:rsid w:val="00AA26A7"/>
    <w:rsid w:val="00AA2971"/>
    <w:rsid w:val="00AA2A44"/>
    <w:rsid w:val="00AA5823"/>
    <w:rsid w:val="00AA699C"/>
    <w:rsid w:val="00AB0596"/>
    <w:rsid w:val="00AB4967"/>
    <w:rsid w:val="00AB5F78"/>
    <w:rsid w:val="00AC27D6"/>
    <w:rsid w:val="00AC3B05"/>
    <w:rsid w:val="00AC3FDD"/>
    <w:rsid w:val="00AC415A"/>
    <w:rsid w:val="00AD1AC5"/>
    <w:rsid w:val="00AD21E9"/>
    <w:rsid w:val="00AD22E7"/>
    <w:rsid w:val="00AD493C"/>
    <w:rsid w:val="00AD4A69"/>
    <w:rsid w:val="00AD54E4"/>
    <w:rsid w:val="00AD5B0A"/>
    <w:rsid w:val="00AE0E4B"/>
    <w:rsid w:val="00AE1074"/>
    <w:rsid w:val="00AE3430"/>
    <w:rsid w:val="00AE3A21"/>
    <w:rsid w:val="00AE4518"/>
    <w:rsid w:val="00AF0998"/>
    <w:rsid w:val="00AF192F"/>
    <w:rsid w:val="00AF1A98"/>
    <w:rsid w:val="00AF26CA"/>
    <w:rsid w:val="00AF2BD3"/>
    <w:rsid w:val="00AF7306"/>
    <w:rsid w:val="00B12463"/>
    <w:rsid w:val="00B13D46"/>
    <w:rsid w:val="00B145D2"/>
    <w:rsid w:val="00B17217"/>
    <w:rsid w:val="00B2159C"/>
    <w:rsid w:val="00B217FF"/>
    <w:rsid w:val="00B2288F"/>
    <w:rsid w:val="00B2345D"/>
    <w:rsid w:val="00B23613"/>
    <w:rsid w:val="00B2763D"/>
    <w:rsid w:val="00B30E88"/>
    <w:rsid w:val="00B3162A"/>
    <w:rsid w:val="00B31E2A"/>
    <w:rsid w:val="00B32666"/>
    <w:rsid w:val="00B3430D"/>
    <w:rsid w:val="00B3567F"/>
    <w:rsid w:val="00B35E74"/>
    <w:rsid w:val="00B37738"/>
    <w:rsid w:val="00B40174"/>
    <w:rsid w:val="00B41D9C"/>
    <w:rsid w:val="00B42BAB"/>
    <w:rsid w:val="00B42D6E"/>
    <w:rsid w:val="00B46873"/>
    <w:rsid w:val="00B46AB2"/>
    <w:rsid w:val="00B53D93"/>
    <w:rsid w:val="00B541B4"/>
    <w:rsid w:val="00B55E01"/>
    <w:rsid w:val="00B60587"/>
    <w:rsid w:val="00B607E9"/>
    <w:rsid w:val="00B60E2D"/>
    <w:rsid w:val="00B633FC"/>
    <w:rsid w:val="00B64C6E"/>
    <w:rsid w:val="00B64D72"/>
    <w:rsid w:val="00B64FBA"/>
    <w:rsid w:val="00B70EDE"/>
    <w:rsid w:val="00B75907"/>
    <w:rsid w:val="00B77D06"/>
    <w:rsid w:val="00B81B31"/>
    <w:rsid w:val="00B84E6F"/>
    <w:rsid w:val="00B877AF"/>
    <w:rsid w:val="00B9015E"/>
    <w:rsid w:val="00B90F81"/>
    <w:rsid w:val="00B9147D"/>
    <w:rsid w:val="00B931EC"/>
    <w:rsid w:val="00B94BDD"/>
    <w:rsid w:val="00BA0510"/>
    <w:rsid w:val="00BA0734"/>
    <w:rsid w:val="00BA120B"/>
    <w:rsid w:val="00BA1250"/>
    <w:rsid w:val="00BA3D24"/>
    <w:rsid w:val="00BA6B87"/>
    <w:rsid w:val="00BA7FD4"/>
    <w:rsid w:val="00BB00CF"/>
    <w:rsid w:val="00BB2282"/>
    <w:rsid w:val="00BB3850"/>
    <w:rsid w:val="00BC1E44"/>
    <w:rsid w:val="00BC296C"/>
    <w:rsid w:val="00BC4442"/>
    <w:rsid w:val="00BC46E5"/>
    <w:rsid w:val="00BC629B"/>
    <w:rsid w:val="00BC64E3"/>
    <w:rsid w:val="00BC6D8E"/>
    <w:rsid w:val="00BC78CF"/>
    <w:rsid w:val="00BD016D"/>
    <w:rsid w:val="00BD0702"/>
    <w:rsid w:val="00BD0A05"/>
    <w:rsid w:val="00BD1359"/>
    <w:rsid w:val="00BD23F3"/>
    <w:rsid w:val="00BD51C2"/>
    <w:rsid w:val="00BD5439"/>
    <w:rsid w:val="00BD641F"/>
    <w:rsid w:val="00BD7061"/>
    <w:rsid w:val="00BD7871"/>
    <w:rsid w:val="00BE048F"/>
    <w:rsid w:val="00BE1D68"/>
    <w:rsid w:val="00BE44F0"/>
    <w:rsid w:val="00BE4C50"/>
    <w:rsid w:val="00BE4EEF"/>
    <w:rsid w:val="00BE54BA"/>
    <w:rsid w:val="00BF0A5C"/>
    <w:rsid w:val="00BF1FE2"/>
    <w:rsid w:val="00BF22C5"/>
    <w:rsid w:val="00BF45CB"/>
    <w:rsid w:val="00BF738D"/>
    <w:rsid w:val="00BF7C63"/>
    <w:rsid w:val="00C011A5"/>
    <w:rsid w:val="00C012FB"/>
    <w:rsid w:val="00C0188B"/>
    <w:rsid w:val="00C06615"/>
    <w:rsid w:val="00C16931"/>
    <w:rsid w:val="00C16B82"/>
    <w:rsid w:val="00C203EE"/>
    <w:rsid w:val="00C20B5E"/>
    <w:rsid w:val="00C21D6E"/>
    <w:rsid w:val="00C22AF4"/>
    <w:rsid w:val="00C23950"/>
    <w:rsid w:val="00C26731"/>
    <w:rsid w:val="00C31006"/>
    <w:rsid w:val="00C3291D"/>
    <w:rsid w:val="00C32B99"/>
    <w:rsid w:val="00C338A1"/>
    <w:rsid w:val="00C42F5A"/>
    <w:rsid w:val="00C43B81"/>
    <w:rsid w:val="00C43E40"/>
    <w:rsid w:val="00C4544B"/>
    <w:rsid w:val="00C4588A"/>
    <w:rsid w:val="00C46362"/>
    <w:rsid w:val="00C4738F"/>
    <w:rsid w:val="00C47D09"/>
    <w:rsid w:val="00C47DAC"/>
    <w:rsid w:val="00C50043"/>
    <w:rsid w:val="00C50216"/>
    <w:rsid w:val="00C519FF"/>
    <w:rsid w:val="00C54A79"/>
    <w:rsid w:val="00C56229"/>
    <w:rsid w:val="00C66777"/>
    <w:rsid w:val="00C67889"/>
    <w:rsid w:val="00C67AA0"/>
    <w:rsid w:val="00C71308"/>
    <w:rsid w:val="00C719F0"/>
    <w:rsid w:val="00C71B16"/>
    <w:rsid w:val="00C73FA0"/>
    <w:rsid w:val="00C746F1"/>
    <w:rsid w:val="00C755A0"/>
    <w:rsid w:val="00C80087"/>
    <w:rsid w:val="00C840EF"/>
    <w:rsid w:val="00C8438C"/>
    <w:rsid w:val="00C86435"/>
    <w:rsid w:val="00C90485"/>
    <w:rsid w:val="00C907B5"/>
    <w:rsid w:val="00C90A2D"/>
    <w:rsid w:val="00C90F4B"/>
    <w:rsid w:val="00C91338"/>
    <w:rsid w:val="00CA24E0"/>
    <w:rsid w:val="00CA3095"/>
    <w:rsid w:val="00CA3717"/>
    <w:rsid w:val="00CA44F8"/>
    <w:rsid w:val="00CA4B21"/>
    <w:rsid w:val="00CA4C69"/>
    <w:rsid w:val="00CA569D"/>
    <w:rsid w:val="00CA6A0A"/>
    <w:rsid w:val="00CB0690"/>
    <w:rsid w:val="00CB124C"/>
    <w:rsid w:val="00CB1724"/>
    <w:rsid w:val="00CB1FA1"/>
    <w:rsid w:val="00CB22A0"/>
    <w:rsid w:val="00CB39B3"/>
    <w:rsid w:val="00CB3A7C"/>
    <w:rsid w:val="00CB6293"/>
    <w:rsid w:val="00CB6402"/>
    <w:rsid w:val="00CC1D87"/>
    <w:rsid w:val="00CC262F"/>
    <w:rsid w:val="00CC31C4"/>
    <w:rsid w:val="00CC3A5C"/>
    <w:rsid w:val="00CC4EAF"/>
    <w:rsid w:val="00CC4F3F"/>
    <w:rsid w:val="00CC65C5"/>
    <w:rsid w:val="00CC67BF"/>
    <w:rsid w:val="00CC7A62"/>
    <w:rsid w:val="00CD0690"/>
    <w:rsid w:val="00CD268A"/>
    <w:rsid w:val="00CD2734"/>
    <w:rsid w:val="00CD2BEB"/>
    <w:rsid w:val="00CD44DB"/>
    <w:rsid w:val="00CD4925"/>
    <w:rsid w:val="00CD685E"/>
    <w:rsid w:val="00CD792E"/>
    <w:rsid w:val="00CE0A2C"/>
    <w:rsid w:val="00CE42CF"/>
    <w:rsid w:val="00CE57F2"/>
    <w:rsid w:val="00CE7034"/>
    <w:rsid w:val="00CE74B8"/>
    <w:rsid w:val="00CF2EEF"/>
    <w:rsid w:val="00CF70BD"/>
    <w:rsid w:val="00CF7999"/>
    <w:rsid w:val="00D00840"/>
    <w:rsid w:val="00D01FBB"/>
    <w:rsid w:val="00D025BA"/>
    <w:rsid w:val="00D02CEE"/>
    <w:rsid w:val="00D03204"/>
    <w:rsid w:val="00D05FBA"/>
    <w:rsid w:val="00D06223"/>
    <w:rsid w:val="00D0684D"/>
    <w:rsid w:val="00D074AC"/>
    <w:rsid w:val="00D10309"/>
    <w:rsid w:val="00D10B1A"/>
    <w:rsid w:val="00D17C2E"/>
    <w:rsid w:val="00D205D4"/>
    <w:rsid w:val="00D20D24"/>
    <w:rsid w:val="00D2242F"/>
    <w:rsid w:val="00D236CC"/>
    <w:rsid w:val="00D23F8E"/>
    <w:rsid w:val="00D25929"/>
    <w:rsid w:val="00D267A4"/>
    <w:rsid w:val="00D33E03"/>
    <w:rsid w:val="00D34461"/>
    <w:rsid w:val="00D360B5"/>
    <w:rsid w:val="00D43C4C"/>
    <w:rsid w:val="00D46227"/>
    <w:rsid w:val="00D46C35"/>
    <w:rsid w:val="00D473C9"/>
    <w:rsid w:val="00D47577"/>
    <w:rsid w:val="00D50703"/>
    <w:rsid w:val="00D528C9"/>
    <w:rsid w:val="00D538D6"/>
    <w:rsid w:val="00D573C3"/>
    <w:rsid w:val="00D61B4D"/>
    <w:rsid w:val="00D64E49"/>
    <w:rsid w:val="00D65A13"/>
    <w:rsid w:val="00D705ED"/>
    <w:rsid w:val="00D718EC"/>
    <w:rsid w:val="00D76365"/>
    <w:rsid w:val="00D76F0F"/>
    <w:rsid w:val="00D76F61"/>
    <w:rsid w:val="00D77FF6"/>
    <w:rsid w:val="00D82786"/>
    <w:rsid w:val="00D84A0C"/>
    <w:rsid w:val="00D85022"/>
    <w:rsid w:val="00D8527F"/>
    <w:rsid w:val="00D90306"/>
    <w:rsid w:val="00D91414"/>
    <w:rsid w:val="00D9291C"/>
    <w:rsid w:val="00D93E25"/>
    <w:rsid w:val="00D94303"/>
    <w:rsid w:val="00D94835"/>
    <w:rsid w:val="00D95B81"/>
    <w:rsid w:val="00D96169"/>
    <w:rsid w:val="00DA02A0"/>
    <w:rsid w:val="00DA35F7"/>
    <w:rsid w:val="00DA3A63"/>
    <w:rsid w:val="00DA4405"/>
    <w:rsid w:val="00DB1C03"/>
    <w:rsid w:val="00DB3C79"/>
    <w:rsid w:val="00DB4BB2"/>
    <w:rsid w:val="00DB5CEA"/>
    <w:rsid w:val="00DC36C4"/>
    <w:rsid w:val="00DC37F1"/>
    <w:rsid w:val="00DC716A"/>
    <w:rsid w:val="00DD073F"/>
    <w:rsid w:val="00DD1023"/>
    <w:rsid w:val="00DD46EB"/>
    <w:rsid w:val="00DD52F1"/>
    <w:rsid w:val="00DD77D2"/>
    <w:rsid w:val="00DE3BAF"/>
    <w:rsid w:val="00DE44F6"/>
    <w:rsid w:val="00DE47BC"/>
    <w:rsid w:val="00DE58F1"/>
    <w:rsid w:val="00DE5BFE"/>
    <w:rsid w:val="00DE6FC1"/>
    <w:rsid w:val="00DE764E"/>
    <w:rsid w:val="00DF14B2"/>
    <w:rsid w:val="00DF7E06"/>
    <w:rsid w:val="00E042EC"/>
    <w:rsid w:val="00E10261"/>
    <w:rsid w:val="00E10ADF"/>
    <w:rsid w:val="00E127EC"/>
    <w:rsid w:val="00E13402"/>
    <w:rsid w:val="00E13F65"/>
    <w:rsid w:val="00E17002"/>
    <w:rsid w:val="00E21585"/>
    <w:rsid w:val="00E24E09"/>
    <w:rsid w:val="00E275E2"/>
    <w:rsid w:val="00E27B06"/>
    <w:rsid w:val="00E300C1"/>
    <w:rsid w:val="00E30D77"/>
    <w:rsid w:val="00E30FD6"/>
    <w:rsid w:val="00E31475"/>
    <w:rsid w:val="00E32622"/>
    <w:rsid w:val="00E3446F"/>
    <w:rsid w:val="00E3613B"/>
    <w:rsid w:val="00E37809"/>
    <w:rsid w:val="00E379FB"/>
    <w:rsid w:val="00E43506"/>
    <w:rsid w:val="00E440B0"/>
    <w:rsid w:val="00E46AB5"/>
    <w:rsid w:val="00E46D6E"/>
    <w:rsid w:val="00E47504"/>
    <w:rsid w:val="00E47B00"/>
    <w:rsid w:val="00E5032A"/>
    <w:rsid w:val="00E51CBE"/>
    <w:rsid w:val="00E52168"/>
    <w:rsid w:val="00E52500"/>
    <w:rsid w:val="00E537B3"/>
    <w:rsid w:val="00E57093"/>
    <w:rsid w:val="00E57571"/>
    <w:rsid w:val="00E608F6"/>
    <w:rsid w:val="00E61067"/>
    <w:rsid w:val="00E61C8E"/>
    <w:rsid w:val="00E6388E"/>
    <w:rsid w:val="00E70D91"/>
    <w:rsid w:val="00E77708"/>
    <w:rsid w:val="00E81860"/>
    <w:rsid w:val="00E81E04"/>
    <w:rsid w:val="00E83DF0"/>
    <w:rsid w:val="00E8409F"/>
    <w:rsid w:val="00E90A36"/>
    <w:rsid w:val="00E90A3A"/>
    <w:rsid w:val="00E97420"/>
    <w:rsid w:val="00EA18FC"/>
    <w:rsid w:val="00EA1C59"/>
    <w:rsid w:val="00EA2191"/>
    <w:rsid w:val="00EA6CA7"/>
    <w:rsid w:val="00EB098C"/>
    <w:rsid w:val="00EB29AE"/>
    <w:rsid w:val="00EB4E6F"/>
    <w:rsid w:val="00EB6E0F"/>
    <w:rsid w:val="00EB721E"/>
    <w:rsid w:val="00EC436F"/>
    <w:rsid w:val="00EC5DA8"/>
    <w:rsid w:val="00EC5DBA"/>
    <w:rsid w:val="00EC6FA2"/>
    <w:rsid w:val="00ED4948"/>
    <w:rsid w:val="00ED4FAF"/>
    <w:rsid w:val="00ED5A4F"/>
    <w:rsid w:val="00EE1BEA"/>
    <w:rsid w:val="00EE2B0A"/>
    <w:rsid w:val="00EE2DD2"/>
    <w:rsid w:val="00EE43C6"/>
    <w:rsid w:val="00EE5140"/>
    <w:rsid w:val="00EE53CD"/>
    <w:rsid w:val="00EE579F"/>
    <w:rsid w:val="00EE64FD"/>
    <w:rsid w:val="00EF179A"/>
    <w:rsid w:val="00EF1AA5"/>
    <w:rsid w:val="00EF1DC6"/>
    <w:rsid w:val="00EF2FBD"/>
    <w:rsid w:val="00EF7F33"/>
    <w:rsid w:val="00F00CD7"/>
    <w:rsid w:val="00F02279"/>
    <w:rsid w:val="00F038D0"/>
    <w:rsid w:val="00F05A42"/>
    <w:rsid w:val="00F05A72"/>
    <w:rsid w:val="00F05EDB"/>
    <w:rsid w:val="00F0674C"/>
    <w:rsid w:val="00F1056E"/>
    <w:rsid w:val="00F10F3B"/>
    <w:rsid w:val="00F122B3"/>
    <w:rsid w:val="00F123FA"/>
    <w:rsid w:val="00F14DA6"/>
    <w:rsid w:val="00F23B02"/>
    <w:rsid w:val="00F24ECB"/>
    <w:rsid w:val="00F26A4D"/>
    <w:rsid w:val="00F3554B"/>
    <w:rsid w:val="00F35DF8"/>
    <w:rsid w:val="00F371A5"/>
    <w:rsid w:val="00F41F1A"/>
    <w:rsid w:val="00F42C22"/>
    <w:rsid w:val="00F42DB1"/>
    <w:rsid w:val="00F465C0"/>
    <w:rsid w:val="00F46E4B"/>
    <w:rsid w:val="00F5424E"/>
    <w:rsid w:val="00F5773D"/>
    <w:rsid w:val="00F57ACB"/>
    <w:rsid w:val="00F604B8"/>
    <w:rsid w:val="00F6346B"/>
    <w:rsid w:val="00F66F26"/>
    <w:rsid w:val="00F700D3"/>
    <w:rsid w:val="00F7103A"/>
    <w:rsid w:val="00F749ED"/>
    <w:rsid w:val="00F76806"/>
    <w:rsid w:val="00F81C23"/>
    <w:rsid w:val="00F84491"/>
    <w:rsid w:val="00F952EF"/>
    <w:rsid w:val="00F957E6"/>
    <w:rsid w:val="00FA12E8"/>
    <w:rsid w:val="00FA1845"/>
    <w:rsid w:val="00FA29BE"/>
    <w:rsid w:val="00FA363B"/>
    <w:rsid w:val="00FA4A7F"/>
    <w:rsid w:val="00FA5C64"/>
    <w:rsid w:val="00FA63B2"/>
    <w:rsid w:val="00FA70BC"/>
    <w:rsid w:val="00FB35E4"/>
    <w:rsid w:val="00FB423B"/>
    <w:rsid w:val="00FB4EB7"/>
    <w:rsid w:val="00FB5568"/>
    <w:rsid w:val="00FC13F2"/>
    <w:rsid w:val="00FC2C02"/>
    <w:rsid w:val="00FC337F"/>
    <w:rsid w:val="00FC37A2"/>
    <w:rsid w:val="00FC3B83"/>
    <w:rsid w:val="00FC58D1"/>
    <w:rsid w:val="00FC73C1"/>
    <w:rsid w:val="00FC74A2"/>
    <w:rsid w:val="00FD0492"/>
    <w:rsid w:val="00FD238A"/>
    <w:rsid w:val="00FD401D"/>
    <w:rsid w:val="00FD4290"/>
    <w:rsid w:val="00FD6917"/>
    <w:rsid w:val="00FE025E"/>
    <w:rsid w:val="00FE0617"/>
    <w:rsid w:val="00FE0A23"/>
    <w:rsid w:val="00FE251C"/>
    <w:rsid w:val="00FE3B6B"/>
    <w:rsid w:val="00FE709B"/>
    <w:rsid w:val="00FF066A"/>
    <w:rsid w:val="00FF0792"/>
    <w:rsid w:val="00FF1630"/>
    <w:rsid w:val="00FF2A30"/>
    <w:rsid w:val="00FF3602"/>
    <w:rsid w:val="00FF538A"/>
    <w:rsid w:val="00FF7FB9"/>
    <w:rsid w:val="011B1FDB"/>
    <w:rsid w:val="017B2FB0"/>
    <w:rsid w:val="01BA5D50"/>
    <w:rsid w:val="01EC10BC"/>
    <w:rsid w:val="023D2AC7"/>
    <w:rsid w:val="0290057C"/>
    <w:rsid w:val="029C5AB6"/>
    <w:rsid w:val="04224779"/>
    <w:rsid w:val="043446B4"/>
    <w:rsid w:val="04A57DC1"/>
    <w:rsid w:val="04BE2ED4"/>
    <w:rsid w:val="04E46318"/>
    <w:rsid w:val="052A6009"/>
    <w:rsid w:val="05CC1499"/>
    <w:rsid w:val="060F21D2"/>
    <w:rsid w:val="06436553"/>
    <w:rsid w:val="06D22F8C"/>
    <w:rsid w:val="06EB0B9E"/>
    <w:rsid w:val="06F55DDB"/>
    <w:rsid w:val="073962B6"/>
    <w:rsid w:val="07485682"/>
    <w:rsid w:val="075D7964"/>
    <w:rsid w:val="07E81C33"/>
    <w:rsid w:val="084E2AC7"/>
    <w:rsid w:val="08E66C8E"/>
    <w:rsid w:val="095D04D1"/>
    <w:rsid w:val="095E3213"/>
    <w:rsid w:val="096D5542"/>
    <w:rsid w:val="0A03050A"/>
    <w:rsid w:val="0A39040E"/>
    <w:rsid w:val="0A561682"/>
    <w:rsid w:val="0A7433AD"/>
    <w:rsid w:val="0ABE14B0"/>
    <w:rsid w:val="0AD54BBA"/>
    <w:rsid w:val="0AE67283"/>
    <w:rsid w:val="0B2A015A"/>
    <w:rsid w:val="0B3E56E0"/>
    <w:rsid w:val="0BD414EB"/>
    <w:rsid w:val="0BDF2BB5"/>
    <w:rsid w:val="0C25717A"/>
    <w:rsid w:val="0C5A7DD5"/>
    <w:rsid w:val="0C662811"/>
    <w:rsid w:val="0CB565A5"/>
    <w:rsid w:val="0CDD20B7"/>
    <w:rsid w:val="0D142EF4"/>
    <w:rsid w:val="0D1A620C"/>
    <w:rsid w:val="0D306EF8"/>
    <w:rsid w:val="0D4247DC"/>
    <w:rsid w:val="0D4D0951"/>
    <w:rsid w:val="0D69120E"/>
    <w:rsid w:val="0DDF0D70"/>
    <w:rsid w:val="0DED4EDE"/>
    <w:rsid w:val="0E8E6C0E"/>
    <w:rsid w:val="0EBB1B77"/>
    <w:rsid w:val="0ED658BB"/>
    <w:rsid w:val="0F0A3907"/>
    <w:rsid w:val="0F2D2D8E"/>
    <w:rsid w:val="0F3C5931"/>
    <w:rsid w:val="0F6A5FEC"/>
    <w:rsid w:val="0F9E7831"/>
    <w:rsid w:val="0FB4180A"/>
    <w:rsid w:val="0FBE36F1"/>
    <w:rsid w:val="0FBE7028"/>
    <w:rsid w:val="0FD23265"/>
    <w:rsid w:val="0FFD4EC9"/>
    <w:rsid w:val="10967317"/>
    <w:rsid w:val="10974D39"/>
    <w:rsid w:val="10A70563"/>
    <w:rsid w:val="10B774EA"/>
    <w:rsid w:val="10CF126B"/>
    <w:rsid w:val="10EB295F"/>
    <w:rsid w:val="112D36B6"/>
    <w:rsid w:val="11672198"/>
    <w:rsid w:val="11FF4077"/>
    <w:rsid w:val="137662EE"/>
    <w:rsid w:val="13B77ACD"/>
    <w:rsid w:val="13F9083C"/>
    <w:rsid w:val="142C6277"/>
    <w:rsid w:val="1432037B"/>
    <w:rsid w:val="14325B88"/>
    <w:rsid w:val="145C07F7"/>
    <w:rsid w:val="14945000"/>
    <w:rsid w:val="14AB07B4"/>
    <w:rsid w:val="14CB66DB"/>
    <w:rsid w:val="14DD3155"/>
    <w:rsid w:val="14EE5BFA"/>
    <w:rsid w:val="15A64C3D"/>
    <w:rsid w:val="15BE36B0"/>
    <w:rsid w:val="16055330"/>
    <w:rsid w:val="16627DE9"/>
    <w:rsid w:val="166361A6"/>
    <w:rsid w:val="16A32408"/>
    <w:rsid w:val="16A347EB"/>
    <w:rsid w:val="17791C7C"/>
    <w:rsid w:val="177A515E"/>
    <w:rsid w:val="177D2513"/>
    <w:rsid w:val="179D296B"/>
    <w:rsid w:val="17A66F22"/>
    <w:rsid w:val="188F071F"/>
    <w:rsid w:val="18D309EC"/>
    <w:rsid w:val="18F76AFA"/>
    <w:rsid w:val="191025A6"/>
    <w:rsid w:val="194F7639"/>
    <w:rsid w:val="19605221"/>
    <w:rsid w:val="19716046"/>
    <w:rsid w:val="19A55E7E"/>
    <w:rsid w:val="19B22D3A"/>
    <w:rsid w:val="19E47E89"/>
    <w:rsid w:val="1A216BD8"/>
    <w:rsid w:val="1A303EC7"/>
    <w:rsid w:val="1A48492F"/>
    <w:rsid w:val="1A4975FA"/>
    <w:rsid w:val="1A4E4072"/>
    <w:rsid w:val="1A656149"/>
    <w:rsid w:val="1AD56BFB"/>
    <w:rsid w:val="1AFD647D"/>
    <w:rsid w:val="1B346B9C"/>
    <w:rsid w:val="1B8C742A"/>
    <w:rsid w:val="1BD03007"/>
    <w:rsid w:val="1C0B3C67"/>
    <w:rsid w:val="1C2B2AC1"/>
    <w:rsid w:val="1C340817"/>
    <w:rsid w:val="1C7A5AEB"/>
    <w:rsid w:val="1C952343"/>
    <w:rsid w:val="1CA625CC"/>
    <w:rsid w:val="1CE2374E"/>
    <w:rsid w:val="1D184C1C"/>
    <w:rsid w:val="1D473F54"/>
    <w:rsid w:val="1D601EA9"/>
    <w:rsid w:val="1D6F0B6D"/>
    <w:rsid w:val="1D7F63EB"/>
    <w:rsid w:val="1DBD43FA"/>
    <w:rsid w:val="1E004BB9"/>
    <w:rsid w:val="1E2822CC"/>
    <w:rsid w:val="1E371077"/>
    <w:rsid w:val="1E467D56"/>
    <w:rsid w:val="1E7072C9"/>
    <w:rsid w:val="1EB711F0"/>
    <w:rsid w:val="1F4D620B"/>
    <w:rsid w:val="1F861D98"/>
    <w:rsid w:val="1FA71C30"/>
    <w:rsid w:val="1FCF5F24"/>
    <w:rsid w:val="202F0455"/>
    <w:rsid w:val="20FD4042"/>
    <w:rsid w:val="20FE3FAA"/>
    <w:rsid w:val="214E527D"/>
    <w:rsid w:val="21507D3E"/>
    <w:rsid w:val="21854259"/>
    <w:rsid w:val="21D26938"/>
    <w:rsid w:val="21E620F3"/>
    <w:rsid w:val="21F452F6"/>
    <w:rsid w:val="222B562A"/>
    <w:rsid w:val="22527EDD"/>
    <w:rsid w:val="227F0BA5"/>
    <w:rsid w:val="22B77290"/>
    <w:rsid w:val="22B96258"/>
    <w:rsid w:val="230342F9"/>
    <w:rsid w:val="232C5F7B"/>
    <w:rsid w:val="237B45C6"/>
    <w:rsid w:val="23901E0F"/>
    <w:rsid w:val="23A541C5"/>
    <w:rsid w:val="23E03338"/>
    <w:rsid w:val="242813A0"/>
    <w:rsid w:val="2485019F"/>
    <w:rsid w:val="24907052"/>
    <w:rsid w:val="24B231B5"/>
    <w:rsid w:val="24C96D61"/>
    <w:rsid w:val="25341A57"/>
    <w:rsid w:val="25CB5136"/>
    <w:rsid w:val="25FE664E"/>
    <w:rsid w:val="260222D4"/>
    <w:rsid w:val="26146AFD"/>
    <w:rsid w:val="261920C8"/>
    <w:rsid w:val="267939C0"/>
    <w:rsid w:val="26AA63C0"/>
    <w:rsid w:val="26F724C4"/>
    <w:rsid w:val="2762137B"/>
    <w:rsid w:val="279714A9"/>
    <w:rsid w:val="286157DC"/>
    <w:rsid w:val="29105A44"/>
    <w:rsid w:val="295D0039"/>
    <w:rsid w:val="2A210889"/>
    <w:rsid w:val="2A3E7BCB"/>
    <w:rsid w:val="2A511DC2"/>
    <w:rsid w:val="2A5929A6"/>
    <w:rsid w:val="2A651C09"/>
    <w:rsid w:val="2B6E780D"/>
    <w:rsid w:val="2B8B1EAB"/>
    <w:rsid w:val="2B8F54FB"/>
    <w:rsid w:val="2BED71E5"/>
    <w:rsid w:val="2C395FBC"/>
    <w:rsid w:val="2CAC59A0"/>
    <w:rsid w:val="2CBB7F21"/>
    <w:rsid w:val="2CEA7886"/>
    <w:rsid w:val="2D93063D"/>
    <w:rsid w:val="2E027CFA"/>
    <w:rsid w:val="2EAE4B5D"/>
    <w:rsid w:val="2ECB58CA"/>
    <w:rsid w:val="2EEC09BC"/>
    <w:rsid w:val="2F08009F"/>
    <w:rsid w:val="2F6E4C78"/>
    <w:rsid w:val="2F946124"/>
    <w:rsid w:val="2FB6721B"/>
    <w:rsid w:val="2FFA09F2"/>
    <w:rsid w:val="30063595"/>
    <w:rsid w:val="310E3C61"/>
    <w:rsid w:val="313E106F"/>
    <w:rsid w:val="31556B35"/>
    <w:rsid w:val="31E66F70"/>
    <w:rsid w:val="321955B0"/>
    <w:rsid w:val="32301D95"/>
    <w:rsid w:val="3239640F"/>
    <w:rsid w:val="326354DF"/>
    <w:rsid w:val="32962803"/>
    <w:rsid w:val="32F34369"/>
    <w:rsid w:val="33B84456"/>
    <w:rsid w:val="343D2247"/>
    <w:rsid w:val="34461844"/>
    <w:rsid w:val="344C298A"/>
    <w:rsid w:val="34BE6AEB"/>
    <w:rsid w:val="34FC2F4C"/>
    <w:rsid w:val="35364BB1"/>
    <w:rsid w:val="35583D7F"/>
    <w:rsid w:val="35C81633"/>
    <w:rsid w:val="35DB5EE5"/>
    <w:rsid w:val="36006758"/>
    <w:rsid w:val="369E07F7"/>
    <w:rsid w:val="36BA1613"/>
    <w:rsid w:val="36EF1E63"/>
    <w:rsid w:val="370552AD"/>
    <w:rsid w:val="37101AE5"/>
    <w:rsid w:val="37180831"/>
    <w:rsid w:val="37A42F38"/>
    <w:rsid w:val="37B5318B"/>
    <w:rsid w:val="380E6F36"/>
    <w:rsid w:val="38516BE6"/>
    <w:rsid w:val="38E35238"/>
    <w:rsid w:val="3922759B"/>
    <w:rsid w:val="39443ABF"/>
    <w:rsid w:val="394A6582"/>
    <w:rsid w:val="39683A59"/>
    <w:rsid w:val="39952A13"/>
    <w:rsid w:val="39BA103A"/>
    <w:rsid w:val="3A126607"/>
    <w:rsid w:val="3A2C215A"/>
    <w:rsid w:val="3A4B07DB"/>
    <w:rsid w:val="3A546AEA"/>
    <w:rsid w:val="3A8962C3"/>
    <w:rsid w:val="3AE659E4"/>
    <w:rsid w:val="3B297023"/>
    <w:rsid w:val="3B5B0B07"/>
    <w:rsid w:val="3B6725B1"/>
    <w:rsid w:val="3B870A96"/>
    <w:rsid w:val="3B871F78"/>
    <w:rsid w:val="3B8800DA"/>
    <w:rsid w:val="3BAA1CC9"/>
    <w:rsid w:val="3BE71054"/>
    <w:rsid w:val="3C272E19"/>
    <w:rsid w:val="3CB57428"/>
    <w:rsid w:val="3CDE44B8"/>
    <w:rsid w:val="3D7F3CD7"/>
    <w:rsid w:val="3DAC6B22"/>
    <w:rsid w:val="3E02463E"/>
    <w:rsid w:val="3E180225"/>
    <w:rsid w:val="3E8C6E82"/>
    <w:rsid w:val="3E95012F"/>
    <w:rsid w:val="3EAF5F7B"/>
    <w:rsid w:val="3EC0380B"/>
    <w:rsid w:val="3F0F4A4C"/>
    <w:rsid w:val="3F265568"/>
    <w:rsid w:val="3F747FBA"/>
    <w:rsid w:val="3F7F511C"/>
    <w:rsid w:val="40304E9B"/>
    <w:rsid w:val="40865225"/>
    <w:rsid w:val="409B5FEF"/>
    <w:rsid w:val="409D02F3"/>
    <w:rsid w:val="40D12ADC"/>
    <w:rsid w:val="40EC54BA"/>
    <w:rsid w:val="412E1351"/>
    <w:rsid w:val="41735210"/>
    <w:rsid w:val="41800E62"/>
    <w:rsid w:val="41D235FC"/>
    <w:rsid w:val="421C7068"/>
    <w:rsid w:val="42A866EA"/>
    <w:rsid w:val="437A544F"/>
    <w:rsid w:val="43A62CA0"/>
    <w:rsid w:val="43B174AF"/>
    <w:rsid w:val="43BA147E"/>
    <w:rsid w:val="43C77804"/>
    <w:rsid w:val="43CC2944"/>
    <w:rsid w:val="43E106BA"/>
    <w:rsid w:val="43F80AC3"/>
    <w:rsid w:val="44244057"/>
    <w:rsid w:val="444B2D95"/>
    <w:rsid w:val="449573CE"/>
    <w:rsid w:val="44C52A8E"/>
    <w:rsid w:val="450C1C5A"/>
    <w:rsid w:val="45150812"/>
    <w:rsid w:val="45402C2E"/>
    <w:rsid w:val="45625FA9"/>
    <w:rsid w:val="45B835AB"/>
    <w:rsid w:val="45DA2ECC"/>
    <w:rsid w:val="466441AD"/>
    <w:rsid w:val="46876D57"/>
    <w:rsid w:val="46ED3584"/>
    <w:rsid w:val="46EF6303"/>
    <w:rsid w:val="474F3654"/>
    <w:rsid w:val="47580EB8"/>
    <w:rsid w:val="476F4E96"/>
    <w:rsid w:val="47B507D0"/>
    <w:rsid w:val="47CF74A2"/>
    <w:rsid w:val="48371E99"/>
    <w:rsid w:val="48795813"/>
    <w:rsid w:val="48C479ED"/>
    <w:rsid w:val="49083E0A"/>
    <w:rsid w:val="492B6A97"/>
    <w:rsid w:val="492C6796"/>
    <w:rsid w:val="499D4FC1"/>
    <w:rsid w:val="49A3606C"/>
    <w:rsid w:val="49C34DD6"/>
    <w:rsid w:val="4A1D43AC"/>
    <w:rsid w:val="4A257345"/>
    <w:rsid w:val="4A547680"/>
    <w:rsid w:val="4AD508E2"/>
    <w:rsid w:val="4BA32825"/>
    <w:rsid w:val="4BA97714"/>
    <w:rsid w:val="4BE72014"/>
    <w:rsid w:val="4C5522E7"/>
    <w:rsid w:val="4CD00532"/>
    <w:rsid w:val="4E1056D7"/>
    <w:rsid w:val="4E4A6207"/>
    <w:rsid w:val="4E9641C2"/>
    <w:rsid w:val="4EA92DDC"/>
    <w:rsid w:val="4ED8592E"/>
    <w:rsid w:val="4F573B98"/>
    <w:rsid w:val="4F5A74C1"/>
    <w:rsid w:val="4F5F6997"/>
    <w:rsid w:val="4FF85D89"/>
    <w:rsid w:val="50C76955"/>
    <w:rsid w:val="50CB5E4F"/>
    <w:rsid w:val="50F358DF"/>
    <w:rsid w:val="514E4AC7"/>
    <w:rsid w:val="51541790"/>
    <w:rsid w:val="515D54DB"/>
    <w:rsid w:val="520A58BA"/>
    <w:rsid w:val="52132903"/>
    <w:rsid w:val="526624AE"/>
    <w:rsid w:val="52702F58"/>
    <w:rsid w:val="529571D9"/>
    <w:rsid w:val="537C6C08"/>
    <w:rsid w:val="5530678C"/>
    <w:rsid w:val="5561552C"/>
    <w:rsid w:val="55870678"/>
    <w:rsid w:val="55FA7186"/>
    <w:rsid w:val="56103D18"/>
    <w:rsid w:val="561D2653"/>
    <w:rsid w:val="56212910"/>
    <w:rsid w:val="5708742D"/>
    <w:rsid w:val="573B34C3"/>
    <w:rsid w:val="576B7ADA"/>
    <w:rsid w:val="57DA62DE"/>
    <w:rsid w:val="57F57018"/>
    <w:rsid w:val="57FA79E6"/>
    <w:rsid w:val="5826179E"/>
    <w:rsid w:val="58867FA5"/>
    <w:rsid w:val="58DF6A83"/>
    <w:rsid w:val="59062BAF"/>
    <w:rsid w:val="59227D8A"/>
    <w:rsid w:val="5964728B"/>
    <w:rsid w:val="596B7438"/>
    <w:rsid w:val="5996029A"/>
    <w:rsid w:val="599B3B57"/>
    <w:rsid w:val="5A0F7CBD"/>
    <w:rsid w:val="5A172EE4"/>
    <w:rsid w:val="5A1D04E7"/>
    <w:rsid w:val="5A295E18"/>
    <w:rsid w:val="5A46371E"/>
    <w:rsid w:val="5A4C5E7E"/>
    <w:rsid w:val="5A9376FD"/>
    <w:rsid w:val="5AD674BC"/>
    <w:rsid w:val="5ADD235A"/>
    <w:rsid w:val="5AE1397B"/>
    <w:rsid w:val="5B927281"/>
    <w:rsid w:val="5BBA5F74"/>
    <w:rsid w:val="5BEF7CDD"/>
    <w:rsid w:val="5BFF4A57"/>
    <w:rsid w:val="5C464874"/>
    <w:rsid w:val="5C7028C7"/>
    <w:rsid w:val="5C836C94"/>
    <w:rsid w:val="5C840D54"/>
    <w:rsid w:val="5C8571A4"/>
    <w:rsid w:val="5C9F0629"/>
    <w:rsid w:val="5C9F11B5"/>
    <w:rsid w:val="5D4B6A95"/>
    <w:rsid w:val="5DBA2AB5"/>
    <w:rsid w:val="5DF63413"/>
    <w:rsid w:val="5E426ADF"/>
    <w:rsid w:val="5E433938"/>
    <w:rsid w:val="5E765FAF"/>
    <w:rsid w:val="5E956AB5"/>
    <w:rsid w:val="5F172FFC"/>
    <w:rsid w:val="5F2E2B2A"/>
    <w:rsid w:val="5F731427"/>
    <w:rsid w:val="5F7C18F5"/>
    <w:rsid w:val="5FC90B11"/>
    <w:rsid w:val="5FED3728"/>
    <w:rsid w:val="606D022C"/>
    <w:rsid w:val="608A79A4"/>
    <w:rsid w:val="610958FC"/>
    <w:rsid w:val="611572E4"/>
    <w:rsid w:val="619A0D66"/>
    <w:rsid w:val="61BE0F71"/>
    <w:rsid w:val="61C643B5"/>
    <w:rsid w:val="61FD79A5"/>
    <w:rsid w:val="62B34D97"/>
    <w:rsid w:val="63043094"/>
    <w:rsid w:val="639E0440"/>
    <w:rsid w:val="63A5008D"/>
    <w:rsid w:val="64063D24"/>
    <w:rsid w:val="641F2BE8"/>
    <w:rsid w:val="642E70B4"/>
    <w:rsid w:val="64542F9E"/>
    <w:rsid w:val="647B3995"/>
    <w:rsid w:val="650A6422"/>
    <w:rsid w:val="65C8456E"/>
    <w:rsid w:val="65E73C62"/>
    <w:rsid w:val="669277BD"/>
    <w:rsid w:val="669C298F"/>
    <w:rsid w:val="66AE1CC9"/>
    <w:rsid w:val="66C757DA"/>
    <w:rsid w:val="66E7687D"/>
    <w:rsid w:val="67703441"/>
    <w:rsid w:val="67AE2DD3"/>
    <w:rsid w:val="68413886"/>
    <w:rsid w:val="68F927B6"/>
    <w:rsid w:val="69712683"/>
    <w:rsid w:val="69A62FDE"/>
    <w:rsid w:val="69EC5816"/>
    <w:rsid w:val="69F908EC"/>
    <w:rsid w:val="6A3D4BD3"/>
    <w:rsid w:val="6A570902"/>
    <w:rsid w:val="6ACE4511"/>
    <w:rsid w:val="6AEC0159"/>
    <w:rsid w:val="6B1B4763"/>
    <w:rsid w:val="6B7E6D16"/>
    <w:rsid w:val="6BC740BB"/>
    <w:rsid w:val="6BE14CD1"/>
    <w:rsid w:val="6C6A4F94"/>
    <w:rsid w:val="6C6D1B5A"/>
    <w:rsid w:val="6CAD4C3E"/>
    <w:rsid w:val="6D0064CB"/>
    <w:rsid w:val="6D5342C1"/>
    <w:rsid w:val="6D603C7A"/>
    <w:rsid w:val="6DA67F7F"/>
    <w:rsid w:val="6DD36F39"/>
    <w:rsid w:val="6DD775C2"/>
    <w:rsid w:val="6E1467D2"/>
    <w:rsid w:val="6E697DE0"/>
    <w:rsid w:val="6E7C0484"/>
    <w:rsid w:val="6EDA3059"/>
    <w:rsid w:val="6F073805"/>
    <w:rsid w:val="6F120F3C"/>
    <w:rsid w:val="6F4F41C7"/>
    <w:rsid w:val="6F7B17F5"/>
    <w:rsid w:val="6F8E00E5"/>
    <w:rsid w:val="70464A02"/>
    <w:rsid w:val="704F043D"/>
    <w:rsid w:val="705E2CAE"/>
    <w:rsid w:val="70996E9A"/>
    <w:rsid w:val="70B7236B"/>
    <w:rsid w:val="70CC7F34"/>
    <w:rsid w:val="711E3240"/>
    <w:rsid w:val="7138344C"/>
    <w:rsid w:val="71566847"/>
    <w:rsid w:val="71E41A42"/>
    <w:rsid w:val="71FA135B"/>
    <w:rsid w:val="720E451F"/>
    <w:rsid w:val="72175C87"/>
    <w:rsid w:val="724E7D47"/>
    <w:rsid w:val="726E4050"/>
    <w:rsid w:val="72B433AC"/>
    <w:rsid w:val="72E17C1E"/>
    <w:rsid w:val="730B3F3E"/>
    <w:rsid w:val="731250B5"/>
    <w:rsid w:val="73187F3D"/>
    <w:rsid w:val="738719B6"/>
    <w:rsid w:val="73B57063"/>
    <w:rsid w:val="73CE375A"/>
    <w:rsid w:val="73F25D93"/>
    <w:rsid w:val="746644F3"/>
    <w:rsid w:val="74B35958"/>
    <w:rsid w:val="74BF2D99"/>
    <w:rsid w:val="74FE24E5"/>
    <w:rsid w:val="750C2083"/>
    <w:rsid w:val="750C749B"/>
    <w:rsid w:val="753E62D3"/>
    <w:rsid w:val="754A604B"/>
    <w:rsid w:val="756546D3"/>
    <w:rsid w:val="75A64C55"/>
    <w:rsid w:val="76254CAA"/>
    <w:rsid w:val="76437801"/>
    <w:rsid w:val="765B2907"/>
    <w:rsid w:val="766C3A9C"/>
    <w:rsid w:val="76764224"/>
    <w:rsid w:val="76BA656A"/>
    <w:rsid w:val="77EC6E74"/>
    <w:rsid w:val="78895DE8"/>
    <w:rsid w:val="79005C67"/>
    <w:rsid w:val="79147128"/>
    <w:rsid w:val="79227D82"/>
    <w:rsid w:val="7933517E"/>
    <w:rsid w:val="79A93D0A"/>
    <w:rsid w:val="79CC36BD"/>
    <w:rsid w:val="79DD493C"/>
    <w:rsid w:val="7A1E378D"/>
    <w:rsid w:val="7A1E6134"/>
    <w:rsid w:val="7A3066E1"/>
    <w:rsid w:val="7A426814"/>
    <w:rsid w:val="7A821B47"/>
    <w:rsid w:val="7AD253CD"/>
    <w:rsid w:val="7B21295B"/>
    <w:rsid w:val="7B471DA1"/>
    <w:rsid w:val="7B873929"/>
    <w:rsid w:val="7BDF5826"/>
    <w:rsid w:val="7D424FE4"/>
    <w:rsid w:val="7D815C01"/>
    <w:rsid w:val="7E3118DC"/>
    <w:rsid w:val="7E6B19E0"/>
    <w:rsid w:val="7ED83E28"/>
    <w:rsid w:val="7FAD73E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qFormat="1" w:unhideWhenUsed="0" w:uiPriority="99" w:semiHidden="0"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ocked="1"/>
    <w:lsdException w:qFormat="1" w:unhideWhenUsed="0" w:uiPriority="99"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6"/>
    <w:qFormat/>
    <w:uiPriority w:val="0"/>
    <w:pPr>
      <w:widowControl w:val="0"/>
      <w:jc w:val="both"/>
    </w:pPr>
    <w:rPr>
      <w:rFonts w:ascii="Times New Roman" w:hAnsi="Times New Roman" w:eastAsia="楷体_GB2312" w:cs="Times New Roman"/>
      <w:kern w:val="2"/>
      <w:sz w:val="32"/>
      <w:szCs w:val="32"/>
      <w:lang w:val="en-US" w:eastAsia="zh-CN" w:bidi="ar-SA"/>
    </w:rPr>
  </w:style>
  <w:style w:type="paragraph" w:styleId="3">
    <w:name w:val="heading 2"/>
    <w:basedOn w:val="1"/>
    <w:next w:val="1"/>
    <w:link w:val="25"/>
    <w:qFormat/>
    <w:uiPriority w:val="99"/>
    <w:pPr>
      <w:keepNext/>
      <w:keepLines/>
      <w:spacing w:before="260" w:after="260" w:line="413" w:lineRule="auto"/>
      <w:outlineLvl w:val="1"/>
    </w:pPr>
    <w:rPr>
      <w:rFonts w:ascii="Cambria" w:hAnsi="Cambria" w:eastAsia="宋体"/>
      <w:b/>
      <w:bCs/>
      <w:kern w:val="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7"/>
    <w:qFormat/>
    <w:uiPriority w:val="99"/>
    <w:pPr>
      <w:spacing w:after="120"/>
    </w:pPr>
    <w:rPr>
      <w:rFonts w:eastAsia="宋体"/>
      <w:kern w:val="0"/>
    </w:rPr>
  </w:style>
  <w:style w:type="paragraph" w:styleId="4">
    <w:name w:val="Normal Indent"/>
    <w:basedOn w:val="1"/>
    <w:next w:val="1"/>
    <w:qFormat/>
    <w:uiPriority w:val="99"/>
    <w:pPr>
      <w:ind w:firstLine="200" w:firstLineChars="200"/>
    </w:pPr>
    <w:rPr>
      <w:rFonts w:ascii="Calibri" w:hAnsi="Calibri" w:eastAsia="宋体"/>
      <w:sz w:val="21"/>
      <w:szCs w:val="24"/>
    </w:rPr>
  </w:style>
  <w:style w:type="paragraph" w:styleId="5">
    <w:name w:val="toa heading"/>
    <w:basedOn w:val="1"/>
    <w:next w:val="1"/>
    <w:semiHidden/>
    <w:qFormat/>
    <w:uiPriority w:val="99"/>
    <w:rPr>
      <w:rFonts w:ascii="Arial" w:hAnsi="Arial" w:cs="Arial"/>
      <w:sz w:val="24"/>
      <w:szCs w:val="24"/>
    </w:rPr>
  </w:style>
  <w:style w:type="paragraph" w:styleId="6">
    <w:name w:val="index 6"/>
    <w:basedOn w:val="1"/>
    <w:next w:val="1"/>
    <w:qFormat/>
    <w:locked/>
    <w:uiPriority w:val="99"/>
    <w:pPr>
      <w:ind w:left="2100"/>
    </w:pPr>
    <w:rPr>
      <w:rFonts w:ascii="Calibri" w:hAnsi="Calibri"/>
    </w:rPr>
  </w:style>
  <w:style w:type="paragraph" w:styleId="7">
    <w:name w:val="Body Text Indent"/>
    <w:basedOn w:val="1"/>
    <w:next w:val="8"/>
    <w:link w:val="28"/>
    <w:qFormat/>
    <w:uiPriority w:val="99"/>
    <w:pPr>
      <w:spacing w:after="120"/>
      <w:ind w:left="420" w:leftChars="200"/>
    </w:pPr>
    <w:rPr>
      <w:rFonts w:eastAsia="宋体"/>
      <w:kern w:val="0"/>
    </w:rPr>
  </w:style>
  <w:style w:type="paragraph" w:styleId="8">
    <w:name w:val="footer"/>
    <w:basedOn w:val="1"/>
    <w:next w:val="9"/>
    <w:link w:val="26"/>
    <w:qFormat/>
    <w:uiPriority w:val="99"/>
    <w:pPr>
      <w:tabs>
        <w:tab w:val="center" w:pos="4153"/>
        <w:tab w:val="right" w:pos="8306"/>
      </w:tabs>
      <w:snapToGrid w:val="0"/>
    </w:pPr>
    <w:rPr>
      <w:rFonts w:eastAsia="宋体"/>
      <w:kern w:val="0"/>
      <w:sz w:val="18"/>
      <w:szCs w:val="18"/>
    </w:rPr>
  </w:style>
  <w:style w:type="paragraph" w:styleId="9">
    <w:name w:val="Body Text First Indent 2"/>
    <w:basedOn w:val="7"/>
    <w:next w:val="1"/>
    <w:link w:val="32"/>
    <w:qFormat/>
    <w:uiPriority w:val="99"/>
    <w:pPr>
      <w:ind w:firstLine="420" w:firstLineChars="200"/>
    </w:pPr>
  </w:style>
  <w:style w:type="paragraph" w:styleId="10">
    <w:name w:val="toc 3"/>
    <w:basedOn w:val="1"/>
    <w:next w:val="1"/>
    <w:qFormat/>
    <w:uiPriority w:val="99"/>
    <w:pPr>
      <w:ind w:left="840" w:leftChars="400"/>
    </w:pPr>
  </w:style>
  <w:style w:type="paragraph" w:styleId="11">
    <w:name w:val="Balloon Text"/>
    <w:basedOn w:val="1"/>
    <w:link w:val="29"/>
    <w:semiHidden/>
    <w:qFormat/>
    <w:locked/>
    <w:uiPriority w:val="99"/>
    <w:rPr>
      <w:rFonts w:eastAsia="宋体"/>
      <w:sz w:val="18"/>
      <w:szCs w:val="18"/>
    </w:rPr>
  </w:style>
  <w:style w:type="paragraph" w:styleId="12">
    <w:name w:val="header"/>
    <w:basedOn w:val="1"/>
    <w:link w:val="3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eastAsia="宋体"/>
      <w:kern w:val="0"/>
      <w:sz w:val="18"/>
      <w:szCs w:val="18"/>
    </w:rPr>
  </w:style>
  <w:style w:type="paragraph" w:styleId="13">
    <w:name w:val="toc 1"/>
    <w:basedOn w:val="1"/>
    <w:next w:val="1"/>
    <w:qFormat/>
    <w:uiPriority w:val="99"/>
  </w:style>
  <w:style w:type="paragraph" w:styleId="14">
    <w:name w:val="toc 2"/>
    <w:basedOn w:val="1"/>
    <w:next w:val="1"/>
    <w:qFormat/>
    <w:uiPriority w:val="99"/>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link w:val="31"/>
    <w:qFormat/>
    <w:uiPriority w:val="99"/>
    <w:pPr>
      <w:spacing w:beforeLines="50" w:afterLines="50"/>
      <w:contextualSpacing/>
      <w:jc w:val="center"/>
      <w:outlineLvl w:val="0"/>
    </w:pPr>
    <w:rPr>
      <w:rFonts w:ascii="Cambria" w:hAnsi="Cambria" w:eastAsia="宋体"/>
      <w:b/>
      <w:bCs/>
      <w:kern w:val="0"/>
    </w:rPr>
  </w:style>
  <w:style w:type="table" w:styleId="18">
    <w:name w:val="Table Grid"/>
    <w:basedOn w:val="17"/>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locked/>
    <w:uiPriority w:val="99"/>
    <w:rPr>
      <w:rFonts w:cs="Times New Roman"/>
      <w:b/>
    </w:rPr>
  </w:style>
  <w:style w:type="character" w:styleId="21">
    <w:name w:val="page number"/>
    <w:basedOn w:val="19"/>
    <w:qFormat/>
    <w:locked/>
    <w:uiPriority w:val="99"/>
    <w:rPr>
      <w:rFonts w:cs="Times New Roman"/>
    </w:rPr>
  </w:style>
  <w:style w:type="character" w:styleId="22">
    <w:name w:val="Emphasis"/>
    <w:basedOn w:val="19"/>
    <w:qFormat/>
    <w:locked/>
    <w:uiPriority w:val="99"/>
    <w:rPr>
      <w:rFonts w:cs="Times New Roman"/>
      <w:i/>
    </w:rPr>
  </w:style>
  <w:style w:type="paragraph" w:customStyle="1" w:styleId="23">
    <w:name w:val="BodyText1I2"/>
    <w:basedOn w:val="24"/>
    <w:next w:val="1"/>
    <w:qFormat/>
    <w:uiPriority w:val="99"/>
    <w:pPr>
      <w:ind w:firstLine="420" w:firstLineChars="200"/>
    </w:pPr>
  </w:style>
  <w:style w:type="paragraph" w:customStyle="1" w:styleId="24">
    <w:name w:val="BodyTextIndent"/>
    <w:basedOn w:val="1"/>
    <w:next w:val="8"/>
    <w:qFormat/>
    <w:uiPriority w:val="99"/>
    <w:pPr>
      <w:spacing w:after="120"/>
      <w:ind w:left="420" w:leftChars="200"/>
      <w:textAlignment w:val="baseline"/>
    </w:pPr>
  </w:style>
  <w:style w:type="character" w:customStyle="1" w:styleId="25">
    <w:name w:val="标题 2 Char"/>
    <w:basedOn w:val="19"/>
    <w:link w:val="3"/>
    <w:semiHidden/>
    <w:qFormat/>
    <w:locked/>
    <w:uiPriority w:val="99"/>
    <w:rPr>
      <w:rFonts w:ascii="Cambria" w:hAnsi="Cambria" w:eastAsia="宋体"/>
      <w:b/>
      <w:sz w:val="32"/>
    </w:rPr>
  </w:style>
  <w:style w:type="character" w:customStyle="1" w:styleId="26">
    <w:name w:val="页脚 Char"/>
    <w:basedOn w:val="19"/>
    <w:link w:val="8"/>
    <w:qFormat/>
    <w:locked/>
    <w:uiPriority w:val="99"/>
    <w:rPr>
      <w:rFonts w:eastAsia="Times New Roman"/>
      <w:sz w:val="18"/>
    </w:rPr>
  </w:style>
  <w:style w:type="character" w:customStyle="1" w:styleId="27">
    <w:name w:val="正文文本 Char"/>
    <w:basedOn w:val="19"/>
    <w:link w:val="2"/>
    <w:semiHidden/>
    <w:qFormat/>
    <w:locked/>
    <w:uiPriority w:val="99"/>
    <w:rPr>
      <w:rFonts w:eastAsia="Times New Roman"/>
      <w:sz w:val="32"/>
    </w:rPr>
  </w:style>
  <w:style w:type="character" w:customStyle="1" w:styleId="28">
    <w:name w:val="正文文本缩进 Char"/>
    <w:basedOn w:val="19"/>
    <w:link w:val="7"/>
    <w:semiHidden/>
    <w:qFormat/>
    <w:locked/>
    <w:uiPriority w:val="99"/>
    <w:rPr>
      <w:rFonts w:eastAsia="Times New Roman"/>
      <w:sz w:val="32"/>
    </w:rPr>
  </w:style>
  <w:style w:type="character" w:customStyle="1" w:styleId="29">
    <w:name w:val="批注框文本 Char"/>
    <w:basedOn w:val="19"/>
    <w:link w:val="11"/>
    <w:semiHidden/>
    <w:qFormat/>
    <w:locked/>
    <w:uiPriority w:val="99"/>
    <w:rPr>
      <w:rFonts w:eastAsia="Times New Roman"/>
      <w:kern w:val="2"/>
      <w:sz w:val="18"/>
    </w:rPr>
  </w:style>
  <w:style w:type="character" w:customStyle="1" w:styleId="30">
    <w:name w:val="页眉 Char"/>
    <w:basedOn w:val="19"/>
    <w:link w:val="12"/>
    <w:semiHidden/>
    <w:qFormat/>
    <w:locked/>
    <w:uiPriority w:val="99"/>
    <w:rPr>
      <w:rFonts w:eastAsia="Times New Roman"/>
      <w:sz w:val="18"/>
    </w:rPr>
  </w:style>
  <w:style w:type="character" w:customStyle="1" w:styleId="31">
    <w:name w:val="标题 Char"/>
    <w:basedOn w:val="19"/>
    <w:link w:val="16"/>
    <w:qFormat/>
    <w:locked/>
    <w:uiPriority w:val="99"/>
    <w:rPr>
      <w:rFonts w:ascii="Cambria" w:hAnsi="Cambria"/>
      <w:b/>
      <w:sz w:val="32"/>
    </w:rPr>
  </w:style>
  <w:style w:type="character" w:customStyle="1" w:styleId="32">
    <w:name w:val="正文首行缩进 2 Char"/>
    <w:basedOn w:val="28"/>
    <w:link w:val="9"/>
    <w:semiHidden/>
    <w:qFormat/>
    <w:locked/>
    <w:uiPriority w:val="99"/>
    <w:rPr>
      <w:rFonts w:eastAsia="Times New Roman"/>
      <w:sz w:val="32"/>
    </w:rPr>
  </w:style>
  <w:style w:type="character" w:customStyle="1" w:styleId="33">
    <w:name w:val="Body Text Char"/>
    <w:qFormat/>
    <w:locked/>
    <w:uiPriority w:val="99"/>
    <w:rPr>
      <w:rFonts w:ascii="??_GB2312" w:hAnsi="Times New Roman" w:eastAsia="Times New Roman"/>
      <w:color w:val="auto"/>
      <w:kern w:val="2"/>
      <w:sz w:val="32"/>
      <w:lang w:val="en-US" w:eastAsia="zh-CN"/>
    </w:rPr>
  </w:style>
  <w:style w:type="paragraph" w:customStyle="1" w:styleId="34">
    <w:name w:val="默认段落字体 Para Char Char Char Char"/>
    <w:basedOn w:val="1"/>
    <w:qFormat/>
    <w:uiPriority w:val="99"/>
    <w:rPr>
      <w:rFonts w:eastAsia="宋体"/>
      <w:sz w:val="21"/>
      <w:szCs w:val="24"/>
    </w:rPr>
  </w:style>
  <w:style w:type="paragraph" w:customStyle="1" w:styleId="35">
    <w:name w:val="toa heading1"/>
    <w:basedOn w:val="1"/>
    <w:next w:val="1"/>
    <w:qFormat/>
    <w:uiPriority w:val="99"/>
    <w:pPr>
      <w:spacing w:before="120"/>
    </w:pPr>
    <w:rPr>
      <w:rFonts w:ascii="Arial" w:hAnsi="Arial"/>
      <w:sz w:val="24"/>
      <w:szCs w:val="21"/>
    </w:rPr>
  </w:style>
  <w:style w:type="paragraph" w:customStyle="1" w:styleId="36">
    <w:name w:val="Plain Text1"/>
    <w:basedOn w:val="1"/>
    <w:qFormat/>
    <w:uiPriority w:val="99"/>
    <w:rPr>
      <w:rFonts w:ascii="宋体" w:hAnsi="Courier New" w:eastAsia="Times New Roman" w:cs="Courier New"/>
      <w:szCs w:val="21"/>
    </w:rPr>
  </w:style>
  <w:style w:type="paragraph" w:customStyle="1" w:styleId="37">
    <w:name w:val="标题 章"/>
    <w:basedOn w:val="3"/>
    <w:next w:val="1"/>
    <w:qFormat/>
    <w:uiPriority w:val="99"/>
    <w:pPr>
      <w:jc w:val="center"/>
    </w:pPr>
  </w:style>
  <w:style w:type="character" w:customStyle="1" w:styleId="38">
    <w:name w:val="font21"/>
    <w:qFormat/>
    <w:uiPriority w:val="99"/>
    <w:rPr>
      <w:rFonts w:ascii="??_GB2312" w:eastAsia="Times New Roman"/>
      <w:color w:val="000000"/>
      <w:sz w:val="24"/>
      <w:u w:val="none"/>
    </w:rPr>
  </w:style>
  <w:style w:type="character" w:customStyle="1" w:styleId="39">
    <w:name w:val="font11"/>
    <w:qFormat/>
    <w:uiPriority w:val="99"/>
    <w:rPr>
      <w:rFonts w:ascii="??_GB2312" w:eastAsia="Times New Roman"/>
      <w:color w:val="000000"/>
      <w:sz w:val="21"/>
      <w:u w:val="none"/>
    </w:rPr>
  </w:style>
  <w:style w:type="paragraph" w:customStyle="1" w:styleId="40">
    <w:name w:val="表格内容 文字标题"/>
    <w:basedOn w:val="41"/>
    <w:qFormat/>
    <w:uiPriority w:val="99"/>
    <w:pPr>
      <w:spacing w:line="380" w:lineRule="exact"/>
      <w:ind w:firstLine="200" w:firstLineChars="200"/>
      <w:jc w:val="left"/>
    </w:pPr>
  </w:style>
  <w:style w:type="paragraph" w:customStyle="1" w:styleId="41">
    <w:name w:val="表格内容1"/>
    <w:basedOn w:val="42"/>
    <w:qFormat/>
    <w:uiPriority w:val="99"/>
    <w:pPr>
      <w:adjustRightInd w:val="0"/>
      <w:spacing w:line="240" w:lineRule="exact"/>
    </w:pPr>
    <w:rPr>
      <w:rFonts w:eastAsia="宋体"/>
      <w:sz w:val="18"/>
    </w:rPr>
  </w:style>
  <w:style w:type="paragraph" w:customStyle="1" w:styleId="42">
    <w:name w:val="表格标题"/>
    <w:basedOn w:val="1"/>
    <w:qFormat/>
    <w:uiPriority w:val="99"/>
    <w:pPr>
      <w:jc w:val="center"/>
    </w:pPr>
    <w:rPr>
      <w:rFonts w:eastAsia="黑体"/>
      <w:sz w:val="21"/>
    </w:rPr>
  </w:style>
  <w:style w:type="paragraph" w:customStyle="1" w:styleId="43">
    <w:name w:val="正文缩进1"/>
    <w:qFormat/>
    <w:uiPriority w:val="99"/>
    <w:pPr>
      <w:widowControl w:val="0"/>
      <w:ind w:firstLine="420"/>
      <w:jc w:val="both"/>
    </w:pPr>
    <w:rPr>
      <w:rFonts w:ascii="Calibri" w:hAnsi="Calibri" w:eastAsia="楷体_GB2312" w:cs="Times New Roman"/>
      <w:kern w:val="2"/>
      <w:sz w:val="32"/>
      <w:szCs w:val="22"/>
      <w:lang w:val="en-US" w:eastAsia="zh-CN" w:bidi="ar-SA"/>
    </w:rPr>
  </w:style>
  <w:style w:type="character" w:customStyle="1" w:styleId="44">
    <w:name w:val="正文文本 (2)_"/>
    <w:qFormat/>
    <w:uiPriority w:val="99"/>
    <w:rPr>
      <w:rFonts w:ascii="MingLiUfalt" w:eastAsia="MingLiUfalt"/>
      <w:spacing w:val="30"/>
      <w:sz w:val="32"/>
      <w:u w:val="none"/>
    </w:rPr>
  </w:style>
  <w:style w:type="paragraph" w:customStyle="1" w:styleId="45">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46">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47">
    <w:name w:val="WPSOffice手动目录 3"/>
    <w:qFormat/>
    <w:uiPriority w:val="99"/>
    <w:pPr>
      <w:ind w:left="400" w:leftChars="400"/>
    </w:pPr>
    <w:rPr>
      <w:rFonts w:ascii="Times New Roman" w:hAnsi="Times New Roman" w:eastAsia="宋体" w:cs="Times New Roman"/>
      <w:kern w:val="0"/>
      <w:sz w:val="20"/>
      <w:szCs w:val="20"/>
      <w:lang w:val="en-US" w:eastAsia="zh-CN" w:bidi="ar-SA"/>
    </w:rPr>
  </w:style>
  <w:style w:type="paragraph" w:customStyle="1" w:styleId="48">
    <w:name w:val="List Paragraph1"/>
    <w:basedOn w:val="1"/>
    <w:qFormat/>
    <w:uiPriority w:val="99"/>
    <w:pPr>
      <w:ind w:firstLine="420" w:firstLineChars="200"/>
    </w:pPr>
  </w:style>
  <w:style w:type="character" w:customStyle="1" w:styleId="49">
    <w:name w:val="黑体"/>
    <w:qFormat/>
    <w:uiPriority w:val="99"/>
    <w:rPr>
      <w:rFonts w:ascii="Calibri" w:hAnsi="Calibri" w:eastAsia="黑体"/>
      <w:color w:val="auto"/>
      <w:kern w:val="2"/>
      <w:sz w:val="24"/>
      <w:lang w:val="en-US" w:eastAsia="zh-CN"/>
    </w:rPr>
  </w:style>
  <w:style w:type="character" w:customStyle="1" w:styleId="50">
    <w:name w:val="不明显强调1"/>
    <w:qFormat/>
    <w:uiPriority w:val="99"/>
    <w:rPr>
      <w:rFonts w:eastAsia="宋体"/>
      <w:color w:val="auto"/>
      <w:sz w:val="21"/>
    </w:rPr>
  </w:style>
  <w:style w:type="character" w:customStyle="1" w:styleId="51">
    <w:name w:val="font61"/>
    <w:qFormat/>
    <w:uiPriority w:val="99"/>
    <w:rPr>
      <w:rFonts w:ascii="Symbol" w:hAnsi="Symbol"/>
      <w:color w:val="000000"/>
      <w:sz w:val="16"/>
      <w:u w:val="none"/>
    </w:rPr>
  </w:style>
  <w:style w:type="character" w:customStyle="1" w:styleId="52">
    <w:name w:val="font71"/>
    <w:qFormat/>
    <w:uiPriority w:val="99"/>
    <w:rPr>
      <w:rFonts w:ascii="Times New Roman" w:hAnsi="Times New Roman"/>
      <w:color w:val="000000"/>
      <w:sz w:val="16"/>
      <w:u w:val="none"/>
    </w:rPr>
  </w:style>
  <w:style w:type="paragraph" w:customStyle="1" w:styleId="53">
    <w:name w:val="秦皇岛正文"/>
    <w:basedOn w:val="54"/>
    <w:qFormat/>
    <w:uiPriority w:val="99"/>
    <w:pPr>
      <w:ind w:firstLine="640"/>
    </w:pPr>
    <w:rPr>
      <w:sz w:val="32"/>
      <w:szCs w:val="32"/>
    </w:rPr>
  </w:style>
  <w:style w:type="paragraph" w:customStyle="1" w:styleId="54">
    <w:name w:val="正文文字"/>
    <w:basedOn w:val="1"/>
    <w:qFormat/>
    <w:uiPriority w:val="99"/>
    <w:pPr>
      <w:spacing w:line="560" w:lineRule="exact"/>
      <w:ind w:firstLine="600" w:firstLineChars="200"/>
    </w:pPr>
    <w:rPr>
      <w:rFonts w:ascii="仿宋" w:hAnsi="Calibri" w:eastAsia="仿宋" w:cs="仿宋"/>
      <w:sz w:val="30"/>
      <w:szCs w:val="30"/>
    </w:rPr>
  </w:style>
  <w:style w:type="paragraph" w:customStyle="1" w:styleId="55">
    <w:name w:val="Default"/>
    <w:qFormat/>
    <w:uiPriority w:val="99"/>
    <w:pPr>
      <w:widowControl w:val="0"/>
      <w:autoSpaceDE w:val="0"/>
      <w:autoSpaceDN w:val="0"/>
      <w:adjustRightInd w:val="0"/>
    </w:pPr>
    <w:rPr>
      <w:rFonts w:ascii="方正小标宋_GBK" w:hAnsi="方正小标宋_GBK" w:eastAsia="方正小标宋_GBK" w:cs="Times New Roman"/>
      <w:color w:val="000000"/>
      <w:kern w:val="0"/>
      <w:sz w:val="24"/>
      <w:szCs w:val="22"/>
      <w:lang w:val="en-US" w:eastAsia="zh-CN" w:bidi="ar-SA"/>
    </w:rPr>
  </w:style>
  <w:style w:type="character" w:customStyle="1" w:styleId="56">
    <w:name w:val="NormalCharacter"/>
    <w:link w:val="1"/>
    <w:qFormat/>
    <w:uiPriority w:val="99"/>
    <w:rPr>
      <w:rFonts w:ascii="Times New Roman" w:hAnsi="Times New Roman" w:eastAsia="楷体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电脑公司</Company>
  <Pages>142</Pages>
  <Words>3252</Words>
  <Characters>3520</Characters>
  <Lines>647</Lines>
  <Paragraphs>182</Paragraphs>
  <TotalTime>62</TotalTime>
  <ScaleCrop>false</ScaleCrop>
  <LinksUpToDate>false</LinksUpToDate>
  <CharactersWithSpaces>3734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2021-01-21T06:32:00Z</dcterms:created>
  <dc:creator>zh</dc:creator>
  <cp:lastModifiedBy>Administrator</cp:lastModifiedBy>
  <cp:lastPrinted>2021-06-10T07:09:00Z</cp:lastPrinted>
  <dcterms:modified xsi:type="dcterms:W3CDTF">2024-10-29T02:03:13Z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SaveFontToCloudKey">
    <vt:lpwstr>340146624_btnclosed</vt:lpwstr>
  </property>
  <property fmtid="{D5CDD505-2E9C-101B-9397-08002B2CF9AE}" pid="4" name="ICV">
    <vt:lpwstr>8D4AA81B24714BE78945F0BB453C3B95</vt:lpwstr>
  </property>
</Properties>
</file>