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480" w:lineRule="exact"/>
        <w:jc w:val="center"/>
        <w:textAlignment w:val="auto"/>
        <w:rPr>
          <w:rFonts w:hint="eastAsia" w:asciiTheme="minorEastAsia" w:hAnsiTheme="minorEastAsia"/>
          <w:b/>
          <w:sz w:val="44"/>
          <w:szCs w:val="44"/>
        </w:rPr>
      </w:pPr>
      <w:r>
        <w:rPr>
          <w:rFonts w:hint="eastAsia" w:asciiTheme="minorEastAsia" w:hAnsiTheme="minorEastAsia"/>
          <w:b/>
          <w:sz w:val="44"/>
          <w:szCs w:val="44"/>
        </w:rPr>
        <w:t>秦皇岛市工业国有资产经营有限公司</w:t>
      </w:r>
    </w:p>
    <w:p>
      <w:pPr>
        <w:keepNext w:val="0"/>
        <w:keepLines w:val="0"/>
        <w:pageBreakBefore w:val="0"/>
        <w:kinsoku/>
        <w:wordWrap/>
        <w:overflowPunct/>
        <w:topLinePunct w:val="0"/>
        <w:autoSpaceDE/>
        <w:autoSpaceDN/>
        <w:bidi w:val="0"/>
        <w:snapToGrid/>
        <w:spacing w:line="480" w:lineRule="exact"/>
        <w:jc w:val="center"/>
        <w:textAlignment w:val="auto"/>
        <w:rPr>
          <w:rFonts w:hint="eastAsia" w:asciiTheme="minorEastAsia" w:hAnsiTheme="minorEastAsia"/>
          <w:b/>
          <w:sz w:val="44"/>
          <w:szCs w:val="44"/>
          <w:lang w:val="en-US" w:eastAsia="zh-CN"/>
        </w:rPr>
      </w:pPr>
      <w:r>
        <w:rPr>
          <w:rFonts w:hint="eastAsia" w:asciiTheme="minorEastAsia" w:hAnsiTheme="minorEastAsia"/>
          <w:b/>
          <w:sz w:val="44"/>
          <w:szCs w:val="44"/>
          <w:lang w:val="en-US" w:eastAsia="zh-CN"/>
        </w:rPr>
        <w:t>信息公开情况报告</w:t>
      </w:r>
    </w:p>
    <w:p>
      <w:pPr>
        <w:keepNext w:val="0"/>
        <w:keepLines w:val="0"/>
        <w:pageBreakBefore w:val="0"/>
        <w:kinsoku/>
        <w:wordWrap/>
        <w:overflowPunct/>
        <w:topLinePunct w:val="0"/>
        <w:autoSpaceDE/>
        <w:autoSpaceDN/>
        <w:bidi w:val="0"/>
        <w:snapToGrid/>
        <w:spacing w:line="480" w:lineRule="exact"/>
        <w:jc w:val="center"/>
        <w:textAlignment w:val="auto"/>
        <w:rPr>
          <w:rFonts w:hint="default" w:asciiTheme="minorEastAsia" w:hAnsiTheme="minorEastAsia" w:eastAsiaTheme="minorEastAsia"/>
          <w:b/>
          <w:sz w:val="44"/>
          <w:szCs w:val="44"/>
          <w:lang w:val="en-US" w:eastAsia="zh-CN"/>
        </w:rPr>
      </w:pPr>
      <w:r>
        <w:rPr>
          <w:rFonts w:hint="eastAsia" w:ascii="仿宋" w:hAnsi="仿宋" w:eastAsia="仿宋"/>
          <w:sz w:val="32"/>
          <w:szCs w:val="32"/>
          <w:lang w:val="en-US" w:eastAsia="zh-CN"/>
        </w:rPr>
        <w:t>（2021年12月）</w:t>
      </w:r>
    </w:p>
    <w:p>
      <w:pPr>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sz w:val="32"/>
          <w:szCs w:val="32"/>
        </w:rPr>
      </w:pPr>
    </w:p>
    <w:p>
      <w:pPr>
        <w:keepNext w:val="0"/>
        <w:keepLines w:val="0"/>
        <w:pageBreakBefore w:val="0"/>
        <w:numPr>
          <w:ilvl w:val="0"/>
          <w:numId w:val="0"/>
        </w:numPr>
        <w:kinsoku/>
        <w:wordWrap/>
        <w:overflowPunct/>
        <w:topLinePunct w:val="0"/>
        <w:autoSpaceDE/>
        <w:autoSpaceDN/>
        <w:bidi w:val="0"/>
        <w:snapToGrid/>
        <w:spacing w:line="48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一、基本情况</w:t>
      </w:r>
    </w:p>
    <w:p>
      <w:pPr>
        <w:keepNext w:val="0"/>
        <w:keepLines w:val="0"/>
        <w:pageBreakBefore w:val="0"/>
        <w:numPr>
          <w:ilvl w:val="0"/>
          <w:numId w:val="0"/>
        </w:numPr>
        <w:kinsoku/>
        <w:wordWrap/>
        <w:overflowPunct/>
        <w:topLinePunct w:val="0"/>
        <w:autoSpaceDE/>
        <w:autoSpaceDN/>
        <w:bidi w:val="0"/>
        <w:snapToGrid/>
        <w:spacing w:line="480" w:lineRule="exact"/>
        <w:textAlignment w:val="auto"/>
        <w:rPr>
          <w:rFonts w:hint="default" w:ascii="仿宋" w:hAnsi="仿宋" w:eastAsia="仿宋"/>
          <w:sz w:val="32"/>
          <w:szCs w:val="32"/>
          <w:lang w:val="en-US" w:eastAsia="zh-CN"/>
        </w:rPr>
      </w:pPr>
      <w:r>
        <w:rPr>
          <w:rFonts w:hint="eastAsia" w:ascii="楷体" w:hAnsi="楷体" w:eastAsia="楷体"/>
          <w:b/>
          <w:sz w:val="32"/>
          <w:szCs w:val="32"/>
          <w:lang w:val="en-US" w:eastAsia="zh-CN"/>
        </w:rPr>
        <w:t xml:space="preserve"> </w:t>
      </w:r>
      <w:r>
        <w:rPr>
          <w:rFonts w:hint="eastAsia" w:ascii="华文仿宋" w:hAnsi="华文仿宋" w:eastAsia="华文仿宋" w:cs="华文仿宋"/>
          <w:b/>
          <w:sz w:val="32"/>
          <w:szCs w:val="32"/>
          <w:lang w:val="en-US" w:eastAsia="zh-CN"/>
        </w:rPr>
        <w:t xml:space="preserve">   </w:t>
      </w:r>
      <w:r>
        <w:rPr>
          <w:rFonts w:hint="eastAsia" w:ascii="仿宋" w:hAnsi="仿宋" w:eastAsia="仿宋"/>
          <w:sz w:val="32"/>
          <w:szCs w:val="32"/>
          <w:lang w:val="en-US" w:eastAsia="zh-CN"/>
        </w:rPr>
        <w:t>（一）企业简介</w:t>
      </w:r>
    </w:p>
    <w:p>
      <w:pPr>
        <w:keepNext w:val="0"/>
        <w:keepLines w:val="0"/>
        <w:pageBreakBefore w:val="0"/>
        <w:kinsoku/>
        <w:wordWrap/>
        <w:overflowPunct/>
        <w:topLinePunct w:val="0"/>
        <w:autoSpaceDE/>
        <w:autoSpaceDN/>
        <w:bidi w:val="0"/>
        <w:snapToGrid/>
        <w:spacing w:line="480" w:lineRule="exact"/>
        <w:ind w:firstLine="640" w:firstLineChars="200"/>
        <w:textAlignment w:val="auto"/>
        <w:rPr>
          <w:rFonts w:ascii="仿宋" w:hAnsi="仿宋" w:eastAsia="仿宋"/>
          <w:sz w:val="32"/>
          <w:szCs w:val="32"/>
        </w:rPr>
      </w:pPr>
      <w:r>
        <w:rPr>
          <w:rFonts w:hint="eastAsia" w:ascii="仿宋" w:hAnsi="仿宋" w:eastAsia="仿宋"/>
          <w:sz w:val="32"/>
          <w:szCs w:val="32"/>
        </w:rPr>
        <w:t>秦皇岛市工业国有资产经营有限公司系2002年市委、市政府按照省市机构改革方案，撤销了市轻工局、市纺织总会、市机械电子局、市重工业局四个工业系统行政主管机关，分别组建市轻工纺织工业国有资产经营有限公司和机电重工工业国有资产经营有限公司，2006年合并，企业名称为“秦皇岛市工业国有资产经营有限公司”（以下简称</w:t>
      </w:r>
      <w:r>
        <w:rPr>
          <w:rFonts w:hint="eastAsia" w:ascii="仿宋" w:hAnsi="仿宋" w:eastAsia="仿宋"/>
          <w:sz w:val="32"/>
          <w:szCs w:val="32"/>
          <w:lang w:val="en-US" w:eastAsia="zh-CN"/>
        </w:rPr>
        <w:t>市</w:t>
      </w:r>
      <w:r>
        <w:rPr>
          <w:rFonts w:hint="eastAsia" w:ascii="仿宋" w:hAnsi="仿宋" w:eastAsia="仿宋"/>
          <w:sz w:val="32"/>
          <w:szCs w:val="32"/>
        </w:rPr>
        <w:t>工业公司），</w:t>
      </w:r>
      <w:r>
        <w:rPr>
          <w:rFonts w:hint="eastAsia" w:ascii="仿宋" w:hAnsi="仿宋" w:eastAsia="仿宋"/>
          <w:sz w:val="32"/>
          <w:szCs w:val="32"/>
          <w:lang w:val="en-US" w:eastAsia="zh-CN"/>
        </w:rPr>
        <w:t>属于</w:t>
      </w:r>
      <w:r>
        <w:rPr>
          <w:rFonts w:hint="eastAsia" w:ascii="仿宋" w:hAnsi="仿宋" w:eastAsia="仿宋"/>
          <w:sz w:val="32"/>
          <w:szCs w:val="32"/>
        </w:rPr>
        <w:t>国有独资</w:t>
      </w:r>
      <w:r>
        <w:rPr>
          <w:rFonts w:hint="eastAsia" w:ascii="仿宋" w:hAnsi="仿宋" w:eastAsia="仿宋"/>
          <w:sz w:val="32"/>
          <w:szCs w:val="32"/>
          <w:lang w:val="en-US" w:eastAsia="zh-CN"/>
        </w:rPr>
        <w:t>企业</w:t>
      </w:r>
      <w:r>
        <w:rPr>
          <w:rFonts w:hint="eastAsia" w:ascii="仿宋" w:hAnsi="仿宋" w:eastAsia="仿宋"/>
          <w:sz w:val="32"/>
          <w:szCs w:val="32"/>
          <w:lang w:eastAsia="zh-CN"/>
        </w:rPr>
        <w:t>，</w:t>
      </w:r>
      <w:r>
        <w:rPr>
          <w:rFonts w:ascii="仿宋" w:hAnsi="仿宋" w:eastAsia="仿宋"/>
          <w:sz w:val="32"/>
          <w:szCs w:val="32"/>
        </w:rPr>
        <w:t>决策机构为董事会。2017年</w:t>
      </w:r>
      <w:r>
        <w:rPr>
          <w:rFonts w:hint="eastAsia" w:ascii="仿宋" w:hAnsi="仿宋" w:eastAsia="仿宋"/>
          <w:sz w:val="32"/>
          <w:szCs w:val="32"/>
        </w:rPr>
        <w:t>5</w:t>
      </w:r>
      <w:r>
        <w:rPr>
          <w:rFonts w:ascii="仿宋" w:hAnsi="仿宋" w:eastAsia="仿宋"/>
          <w:sz w:val="32"/>
          <w:szCs w:val="32"/>
        </w:rPr>
        <w:t>月划归市国资委管理。</w:t>
      </w:r>
    </w:p>
    <w:p>
      <w:pPr>
        <w:keepNext w:val="0"/>
        <w:keepLines w:val="0"/>
        <w:pageBreakBefore w:val="0"/>
        <w:kinsoku/>
        <w:wordWrap/>
        <w:overflowPunct/>
        <w:topLinePunct w:val="0"/>
        <w:autoSpaceDE/>
        <w:autoSpaceDN/>
        <w:bidi w:val="0"/>
        <w:snapToGrid/>
        <w:spacing w:line="48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市工业公司</w:t>
      </w:r>
      <w:r>
        <w:rPr>
          <w:rFonts w:hint="eastAsia" w:ascii="仿宋" w:hAnsi="仿宋" w:eastAsia="仿宋"/>
          <w:sz w:val="32"/>
          <w:szCs w:val="32"/>
        </w:rPr>
        <w:t>所属国有企业共98家， 2010年已经基本完成企业改制工作，分流安置职工4万多人，解决了市属改制企业陈旧的债务负担,通过土地收储挂牌出让及房产设备拍卖等方式，实现了大量的国有资产收益并全部上缴了财政。</w:t>
      </w:r>
    </w:p>
    <w:p>
      <w:pPr>
        <w:keepNext w:val="0"/>
        <w:keepLines w:val="0"/>
        <w:pageBreakBefore w:val="0"/>
        <w:kinsoku/>
        <w:wordWrap/>
        <w:overflowPunct/>
        <w:topLinePunct w:val="0"/>
        <w:autoSpaceDE/>
        <w:autoSpaceDN/>
        <w:bidi w:val="0"/>
        <w:snapToGrid/>
        <w:spacing w:line="48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（二）工商注册信息</w:t>
      </w:r>
    </w:p>
    <w:p>
      <w:pPr>
        <w:keepNext w:val="0"/>
        <w:keepLines w:val="0"/>
        <w:pageBreakBefore w:val="0"/>
        <w:kinsoku/>
        <w:wordWrap/>
        <w:overflowPunct/>
        <w:topLinePunct w:val="0"/>
        <w:autoSpaceDE/>
        <w:autoSpaceDN/>
        <w:bidi w:val="0"/>
        <w:snapToGrid/>
        <w:spacing w:line="480" w:lineRule="exact"/>
        <w:ind w:firstLine="63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市工业公司注册地位于</w:t>
      </w:r>
      <w:r>
        <w:rPr>
          <w:rFonts w:hint="eastAsia" w:ascii="仿宋" w:hAnsi="仿宋" w:eastAsia="仿宋"/>
          <w:sz w:val="32"/>
          <w:szCs w:val="32"/>
        </w:rPr>
        <w:t>秦皇岛市海港区红旗路27号</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snapToGrid/>
        <w:spacing w:line="480" w:lineRule="exact"/>
        <w:ind w:firstLine="630"/>
        <w:textAlignment w:val="auto"/>
        <w:rPr>
          <w:rFonts w:ascii="仿宋" w:hAnsi="仿宋" w:eastAsia="仿宋"/>
          <w:sz w:val="32"/>
          <w:szCs w:val="32"/>
        </w:rPr>
      </w:pPr>
      <w:r>
        <w:rPr>
          <w:rFonts w:hint="eastAsia" w:ascii="仿宋" w:hAnsi="仿宋" w:eastAsia="仿宋"/>
          <w:sz w:val="32"/>
          <w:szCs w:val="32"/>
        </w:rPr>
        <w:t>注册资本人民币10000万元。出资人秦皇岛市人民政府国有资产监督管理委员会。经营范围：对授权范围内的工业国有资产进行经营和管理</w:t>
      </w:r>
      <w:r>
        <w:rPr>
          <w:rFonts w:hint="eastAsia" w:ascii="仿宋" w:hAnsi="仿宋" w:eastAsia="仿宋"/>
          <w:sz w:val="32"/>
          <w:szCs w:val="32"/>
          <w:lang w:val="en-US" w:eastAsia="zh-CN"/>
        </w:rPr>
        <w:t>；</w:t>
      </w:r>
      <w:r>
        <w:rPr>
          <w:rFonts w:hint="eastAsia" w:ascii="仿宋" w:hAnsi="仿宋" w:eastAsia="仿宋"/>
          <w:sz w:val="32"/>
          <w:szCs w:val="32"/>
        </w:rPr>
        <w:t>房屋租赁。主要职能：一是对未完成改制国有企业进行改制和监管；二是协调处理国企改制遗留问题及其因改制引发的新情况、新矛盾，负责改制后企业的信访稳定工作；三是对改制企业剩余资产进行监管及运营；四是负责改制破产企业无托管主体的80多名离休干部和离休干部遗属以及1万余名退养、退休职工生活费的发放以及社会保险的缴纳、500多名转业军人的政策待遇落实及服务（托管离休干部人数占市区总数的三分之一）；五是对39个破产企业家属区进行管理服务，确保职工队伍和社会稳定。</w:t>
      </w:r>
    </w:p>
    <w:p>
      <w:pPr>
        <w:keepNext w:val="0"/>
        <w:keepLines w:val="0"/>
        <w:pageBreakBefore w:val="0"/>
        <w:numPr>
          <w:ilvl w:val="0"/>
          <w:numId w:val="0"/>
        </w:numPr>
        <w:kinsoku/>
        <w:wordWrap/>
        <w:overflowPunct/>
        <w:topLinePunct w:val="0"/>
        <w:autoSpaceDE/>
        <w:autoSpaceDN/>
        <w:bidi w:val="0"/>
        <w:snapToGrid/>
        <w:spacing w:line="48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二、组织体系</w:t>
      </w:r>
    </w:p>
    <w:p>
      <w:pPr>
        <w:keepNext w:val="0"/>
        <w:keepLines w:val="0"/>
        <w:pageBreakBefore w:val="0"/>
        <w:kinsoku/>
        <w:wordWrap/>
        <w:overflowPunct/>
        <w:topLinePunct w:val="0"/>
        <w:autoSpaceDE/>
        <w:autoSpaceDN/>
        <w:bidi w:val="0"/>
        <w:adjustRightInd w:val="0"/>
        <w:snapToGrid/>
        <w:spacing w:line="48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（一）企业领导</w:t>
      </w:r>
    </w:p>
    <w:tbl>
      <w:tblPr>
        <w:tblStyle w:val="6"/>
        <w:tblW w:w="8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3225"/>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keepNext w:val="0"/>
              <w:keepLines w:val="0"/>
              <w:pageBreakBefore w:val="0"/>
              <w:kinsoku/>
              <w:wordWrap/>
              <w:overflowPunct/>
              <w:topLinePunct w:val="0"/>
              <w:autoSpaceDE/>
              <w:autoSpaceDN/>
              <w:bidi w:val="0"/>
              <w:adjustRightInd w:val="0"/>
              <w:snapToGrid/>
              <w:spacing w:line="480" w:lineRule="exact"/>
              <w:jc w:val="center"/>
              <w:textAlignment w:val="auto"/>
              <w:rPr>
                <w:rFonts w:hint="default" w:ascii="仿宋" w:hAnsi="仿宋" w:eastAsia="仿宋"/>
                <w:b/>
                <w:bCs/>
                <w:sz w:val="28"/>
                <w:szCs w:val="28"/>
                <w:vertAlign w:val="baseline"/>
                <w:lang w:val="en-US" w:eastAsia="zh-CN"/>
              </w:rPr>
            </w:pPr>
            <w:r>
              <w:rPr>
                <w:rFonts w:hint="eastAsia" w:ascii="仿宋" w:hAnsi="仿宋" w:eastAsia="仿宋"/>
                <w:b/>
                <w:bCs/>
                <w:sz w:val="28"/>
                <w:szCs w:val="28"/>
                <w:vertAlign w:val="baseline"/>
                <w:lang w:val="en-US" w:eastAsia="zh-CN"/>
              </w:rPr>
              <w:t>姓名</w:t>
            </w:r>
          </w:p>
        </w:tc>
        <w:tc>
          <w:tcPr>
            <w:tcW w:w="3225" w:type="dxa"/>
            <w:vAlign w:val="center"/>
          </w:tcPr>
          <w:p>
            <w:pPr>
              <w:keepNext w:val="0"/>
              <w:keepLines w:val="0"/>
              <w:pageBreakBefore w:val="0"/>
              <w:kinsoku/>
              <w:wordWrap/>
              <w:overflowPunct/>
              <w:topLinePunct w:val="0"/>
              <w:autoSpaceDE/>
              <w:autoSpaceDN/>
              <w:bidi w:val="0"/>
              <w:adjustRightInd w:val="0"/>
              <w:snapToGrid/>
              <w:spacing w:line="480" w:lineRule="exact"/>
              <w:jc w:val="center"/>
              <w:textAlignment w:val="auto"/>
              <w:rPr>
                <w:rFonts w:hint="default" w:ascii="仿宋" w:hAnsi="仿宋" w:eastAsia="仿宋"/>
                <w:b/>
                <w:bCs/>
                <w:sz w:val="28"/>
                <w:szCs w:val="28"/>
                <w:vertAlign w:val="baseline"/>
                <w:lang w:val="en-US" w:eastAsia="zh-CN"/>
              </w:rPr>
            </w:pPr>
            <w:r>
              <w:rPr>
                <w:rFonts w:hint="eastAsia" w:ascii="仿宋" w:hAnsi="仿宋" w:eastAsia="仿宋"/>
                <w:b/>
                <w:bCs/>
                <w:sz w:val="28"/>
                <w:szCs w:val="28"/>
                <w:vertAlign w:val="baseline"/>
                <w:lang w:val="en-US" w:eastAsia="zh-CN"/>
              </w:rPr>
              <w:t>职    务</w:t>
            </w:r>
          </w:p>
        </w:tc>
        <w:tc>
          <w:tcPr>
            <w:tcW w:w="4575" w:type="dxa"/>
            <w:vAlign w:val="center"/>
          </w:tcPr>
          <w:p>
            <w:pPr>
              <w:keepNext w:val="0"/>
              <w:keepLines w:val="0"/>
              <w:pageBreakBefore w:val="0"/>
              <w:kinsoku/>
              <w:wordWrap/>
              <w:overflowPunct/>
              <w:topLinePunct w:val="0"/>
              <w:autoSpaceDE/>
              <w:autoSpaceDN/>
              <w:bidi w:val="0"/>
              <w:adjustRightInd w:val="0"/>
              <w:snapToGrid/>
              <w:spacing w:line="480" w:lineRule="exact"/>
              <w:jc w:val="center"/>
              <w:textAlignment w:val="auto"/>
              <w:rPr>
                <w:rFonts w:hint="default" w:ascii="仿宋" w:hAnsi="仿宋" w:eastAsia="仿宋"/>
                <w:b/>
                <w:bCs/>
                <w:sz w:val="28"/>
                <w:szCs w:val="28"/>
                <w:vertAlign w:val="baseline"/>
                <w:lang w:val="en-US" w:eastAsia="zh-CN"/>
              </w:rPr>
            </w:pPr>
            <w:r>
              <w:rPr>
                <w:rFonts w:hint="eastAsia" w:ascii="仿宋" w:hAnsi="仿宋" w:eastAsia="仿宋"/>
                <w:b/>
                <w:bCs/>
                <w:sz w:val="28"/>
                <w:szCs w:val="28"/>
                <w:vertAlign w:val="baseline"/>
                <w:lang w:val="en-US" w:eastAsia="zh-CN"/>
              </w:rPr>
              <w:t>分管工作及部室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134" w:type="dxa"/>
            <w:vAlign w:val="center"/>
          </w:tcPr>
          <w:p>
            <w:pPr>
              <w:keepNext w:val="0"/>
              <w:keepLines w:val="0"/>
              <w:pageBreakBefore w:val="0"/>
              <w:kinsoku/>
              <w:wordWrap/>
              <w:overflowPunct/>
              <w:topLinePunct w:val="0"/>
              <w:autoSpaceDE/>
              <w:autoSpaceDN/>
              <w:bidi w:val="0"/>
              <w:adjustRightInd w:val="0"/>
              <w:snapToGrid/>
              <w:spacing w:line="480" w:lineRule="exact"/>
              <w:jc w:val="both"/>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王宝宏</w:t>
            </w:r>
          </w:p>
        </w:tc>
        <w:tc>
          <w:tcPr>
            <w:tcW w:w="3225" w:type="dxa"/>
            <w:vAlign w:val="center"/>
          </w:tcPr>
          <w:p>
            <w:pPr>
              <w:keepNext w:val="0"/>
              <w:keepLines w:val="0"/>
              <w:pageBreakBefore w:val="0"/>
              <w:kinsoku/>
              <w:wordWrap/>
              <w:overflowPunct/>
              <w:topLinePunct w:val="0"/>
              <w:autoSpaceDE/>
              <w:autoSpaceDN/>
              <w:bidi w:val="0"/>
              <w:adjustRightInd w:val="0"/>
              <w:snapToGrid/>
              <w:spacing w:line="480" w:lineRule="exact"/>
              <w:jc w:val="both"/>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公司党委书记、董事长</w:t>
            </w:r>
          </w:p>
        </w:tc>
        <w:tc>
          <w:tcPr>
            <w:tcW w:w="4575" w:type="dxa"/>
            <w:vAlign w:val="center"/>
          </w:tcPr>
          <w:p>
            <w:pPr>
              <w:keepNext w:val="0"/>
              <w:keepLines w:val="0"/>
              <w:pageBreakBefore w:val="0"/>
              <w:kinsoku/>
              <w:wordWrap/>
              <w:overflowPunct/>
              <w:topLinePunct w:val="0"/>
              <w:autoSpaceDE/>
              <w:autoSpaceDN/>
              <w:bidi w:val="0"/>
              <w:snapToGrid/>
              <w:spacing w:line="48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主持市工业公司党委和董事会全面工作，分管纪检、党群部。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keepNext w:val="0"/>
              <w:keepLines w:val="0"/>
              <w:pageBreakBefore w:val="0"/>
              <w:kinsoku/>
              <w:wordWrap/>
              <w:overflowPunct/>
              <w:topLinePunct w:val="0"/>
              <w:autoSpaceDE/>
              <w:autoSpaceDN/>
              <w:bidi w:val="0"/>
              <w:adjustRightInd w:val="0"/>
              <w:snapToGrid/>
              <w:spacing w:line="480" w:lineRule="exact"/>
              <w:jc w:val="center"/>
              <w:textAlignment w:val="auto"/>
              <w:rPr>
                <w:rFonts w:hint="eastAsia" w:ascii="仿宋" w:hAnsi="仿宋" w:eastAsia="仿宋" w:cstheme="minorBidi"/>
                <w:kern w:val="2"/>
                <w:sz w:val="28"/>
                <w:szCs w:val="28"/>
                <w:vertAlign w:val="baseline"/>
                <w:lang w:val="en-US" w:eastAsia="zh-CN" w:bidi="ar-SA"/>
              </w:rPr>
            </w:pPr>
            <w:r>
              <w:rPr>
                <w:rFonts w:hint="eastAsia" w:ascii="仿宋" w:hAnsi="仿宋" w:eastAsia="仿宋"/>
                <w:sz w:val="28"/>
                <w:szCs w:val="28"/>
                <w:vertAlign w:val="baseline"/>
                <w:lang w:val="en-US" w:eastAsia="zh-CN"/>
              </w:rPr>
              <w:t>刘彦君</w:t>
            </w:r>
          </w:p>
        </w:tc>
        <w:tc>
          <w:tcPr>
            <w:tcW w:w="3225" w:type="dxa"/>
            <w:vAlign w:val="center"/>
          </w:tcPr>
          <w:p>
            <w:pPr>
              <w:keepNext w:val="0"/>
              <w:keepLines w:val="0"/>
              <w:pageBreakBefore w:val="0"/>
              <w:kinsoku/>
              <w:wordWrap/>
              <w:overflowPunct/>
              <w:topLinePunct w:val="0"/>
              <w:autoSpaceDE/>
              <w:autoSpaceDN/>
              <w:bidi w:val="0"/>
              <w:adjustRightInd w:val="0"/>
              <w:snapToGrid/>
              <w:spacing w:line="480" w:lineRule="exact"/>
              <w:jc w:val="center"/>
              <w:textAlignment w:val="auto"/>
              <w:rPr>
                <w:rFonts w:hint="eastAsia" w:ascii="仿宋" w:hAnsi="仿宋" w:eastAsia="仿宋" w:cstheme="minorBidi"/>
                <w:kern w:val="2"/>
                <w:sz w:val="28"/>
                <w:szCs w:val="28"/>
                <w:vertAlign w:val="baseline"/>
                <w:lang w:val="en-US" w:eastAsia="zh-CN" w:bidi="ar-SA"/>
              </w:rPr>
            </w:pPr>
            <w:r>
              <w:rPr>
                <w:rFonts w:hint="eastAsia" w:ascii="仿宋" w:hAnsi="仿宋" w:eastAsia="仿宋"/>
                <w:sz w:val="28"/>
                <w:szCs w:val="28"/>
                <w:vertAlign w:val="baseline"/>
                <w:lang w:val="en-US" w:eastAsia="zh-CN"/>
              </w:rPr>
              <w:t>公司党委副书记、总经理</w:t>
            </w:r>
          </w:p>
        </w:tc>
        <w:tc>
          <w:tcPr>
            <w:tcW w:w="4575" w:type="dxa"/>
            <w:vAlign w:val="center"/>
          </w:tcPr>
          <w:p>
            <w:pPr>
              <w:keepNext w:val="0"/>
              <w:keepLines w:val="0"/>
              <w:pageBreakBefore w:val="0"/>
              <w:kinsoku/>
              <w:wordWrap/>
              <w:overflowPunct/>
              <w:topLinePunct w:val="0"/>
              <w:autoSpaceDE/>
              <w:autoSpaceDN/>
              <w:bidi w:val="0"/>
              <w:snapToGrid/>
              <w:spacing w:line="480" w:lineRule="exact"/>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rPr>
              <w:t>主持市工业公司行政经营管理全面工作，</w:t>
            </w:r>
            <w:r>
              <w:rPr>
                <w:rFonts w:hint="eastAsia" w:ascii="仿宋" w:hAnsi="仿宋" w:eastAsia="仿宋" w:cs="仿宋"/>
                <w:sz w:val="24"/>
                <w:szCs w:val="24"/>
                <w:lang w:val="en-US" w:eastAsia="zh-CN"/>
              </w:rPr>
              <w:t>负责资产管理、资产运营，分管综合办公室、资产监管运营部。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keepNext w:val="0"/>
              <w:keepLines w:val="0"/>
              <w:pageBreakBefore w:val="0"/>
              <w:kinsoku/>
              <w:wordWrap/>
              <w:overflowPunct/>
              <w:topLinePunct w:val="0"/>
              <w:autoSpaceDE/>
              <w:autoSpaceDN/>
              <w:bidi w:val="0"/>
              <w:adjustRightInd w:val="0"/>
              <w:snapToGrid/>
              <w:spacing w:line="480" w:lineRule="exact"/>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陈鹰</w:t>
            </w:r>
          </w:p>
        </w:tc>
        <w:tc>
          <w:tcPr>
            <w:tcW w:w="3225" w:type="dxa"/>
            <w:vAlign w:val="center"/>
          </w:tcPr>
          <w:p>
            <w:pPr>
              <w:keepNext w:val="0"/>
              <w:keepLines w:val="0"/>
              <w:pageBreakBefore w:val="0"/>
              <w:kinsoku/>
              <w:wordWrap/>
              <w:overflowPunct/>
              <w:topLinePunct w:val="0"/>
              <w:autoSpaceDE/>
              <w:autoSpaceDN/>
              <w:bidi w:val="0"/>
              <w:adjustRightInd w:val="0"/>
              <w:snapToGrid/>
              <w:spacing w:line="480" w:lineRule="exact"/>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公司党委委员、副总经理</w:t>
            </w:r>
          </w:p>
        </w:tc>
        <w:tc>
          <w:tcPr>
            <w:tcW w:w="4575" w:type="dxa"/>
            <w:vAlign w:val="center"/>
          </w:tcPr>
          <w:p>
            <w:pPr>
              <w:keepNext w:val="0"/>
              <w:keepLines w:val="0"/>
              <w:pageBreakBefore w:val="0"/>
              <w:kinsoku/>
              <w:wordWrap/>
              <w:overflowPunct/>
              <w:topLinePunct w:val="0"/>
              <w:autoSpaceDE/>
              <w:autoSpaceDN/>
              <w:bidi w:val="0"/>
              <w:adjustRightInd w:val="0"/>
              <w:snapToGrid/>
              <w:spacing w:line="4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协助党委书记抓好党建、党风廉政建设工作。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keepNext w:val="0"/>
              <w:keepLines w:val="0"/>
              <w:pageBreakBefore w:val="0"/>
              <w:kinsoku/>
              <w:wordWrap/>
              <w:overflowPunct/>
              <w:topLinePunct w:val="0"/>
              <w:autoSpaceDE/>
              <w:autoSpaceDN/>
              <w:bidi w:val="0"/>
              <w:adjustRightInd w:val="0"/>
              <w:snapToGrid/>
              <w:spacing w:line="480" w:lineRule="exact"/>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郝雅民</w:t>
            </w:r>
          </w:p>
        </w:tc>
        <w:tc>
          <w:tcPr>
            <w:tcW w:w="3225" w:type="dxa"/>
            <w:vAlign w:val="center"/>
          </w:tcPr>
          <w:p>
            <w:pPr>
              <w:keepNext w:val="0"/>
              <w:keepLines w:val="0"/>
              <w:pageBreakBefore w:val="0"/>
              <w:kinsoku/>
              <w:wordWrap/>
              <w:overflowPunct/>
              <w:topLinePunct w:val="0"/>
              <w:autoSpaceDE/>
              <w:autoSpaceDN/>
              <w:bidi w:val="0"/>
              <w:adjustRightInd w:val="0"/>
              <w:snapToGrid/>
              <w:spacing w:line="480" w:lineRule="exact"/>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公司党委委员、副总经理</w:t>
            </w:r>
          </w:p>
        </w:tc>
        <w:tc>
          <w:tcPr>
            <w:tcW w:w="4575" w:type="dxa"/>
            <w:vAlign w:val="center"/>
          </w:tcPr>
          <w:p>
            <w:pPr>
              <w:keepNext w:val="0"/>
              <w:keepLines w:val="0"/>
              <w:pageBreakBefore w:val="0"/>
              <w:kinsoku/>
              <w:wordWrap/>
              <w:overflowPunct/>
              <w:topLinePunct w:val="0"/>
              <w:autoSpaceDE/>
              <w:autoSpaceDN/>
              <w:bidi w:val="0"/>
              <w:adjustRightInd w:val="0"/>
              <w:snapToGrid/>
              <w:spacing w:line="4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负责人力资源和社会保障、离退休干部管理、服务，分管离休干部和人力资源部。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34" w:type="dxa"/>
            <w:vAlign w:val="center"/>
          </w:tcPr>
          <w:p>
            <w:pPr>
              <w:keepNext w:val="0"/>
              <w:keepLines w:val="0"/>
              <w:pageBreakBefore w:val="0"/>
              <w:kinsoku/>
              <w:wordWrap/>
              <w:overflowPunct/>
              <w:topLinePunct w:val="0"/>
              <w:autoSpaceDE/>
              <w:autoSpaceDN/>
              <w:bidi w:val="0"/>
              <w:adjustRightInd w:val="0"/>
              <w:snapToGrid/>
              <w:spacing w:line="480" w:lineRule="exact"/>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包放</w:t>
            </w:r>
          </w:p>
        </w:tc>
        <w:tc>
          <w:tcPr>
            <w:tcW w:w="3225" w:type="dxa"/>
            <w:vAlign w:val="center"/>
          </w:tcPr>
          <w:p>
            <w:pPr>
              <w:keepNext w:val="0"/>
              <w:keepLines w:val="0"/>
              <w:pageBreakBefore w:val="0"/>
              <w:kinsoku/>
              <w:wordWrap/>
              <w:overflowPunct/>
              <w:topLinePunct w:val="0"/>
              <w:autoSpaceDE/>
              <w:autoSpaceDN/>
              <w:bidi w:val="0"/>
              <w:adjustRightInd w:val="0"/>
              <w:snapToGrid/>
              <w:spacing w:line="480" w:lineRule="exact"/>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公司党委委员、副总经理</w:t>
            </w:r>
          </w:p>
        </w:tc>
        <w:tc>
          <w:tcPr>
            <w:tcW w:w="4575" w:type="dxa"/>
            <w:vAlign w:val="center"/>
          </w:tcPr>
          <w:p>
            <w:pPr>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负责企业改革与遗留问题处理，信访稳定、安全生产、应急处突；改制企业职工托管与服务、改制企业留守善后等方面的工作，分管信访</w:t>
            </w:r>
            <w:r>
              <w:rPr>
                <w:rFonts w:hint="eastAsia" w:ascii="仿宋" w:hAnsi="仿宋" w:eastAsia="仿宋" w:cs="仿宋"/>
                <w:sz w:val="24"/>
                <w:szCs w:val="24"/>
                <w:lang w:val="en-US" w:eastAsia="zh-CN"/>
              </w:rPr>
              <w:t>维稳</w:t>
            </w:r>
            <w:r>
              <w:rPr>
                <w:rFonts w:hint="eastAsia" w:ascii="仿宋" w:hAnsi="仿宋" w:eastAsia="仿宋" w:cs="仿宋"/>
                <w:sz w:val="24"/>
                <w:szCs w:val="24"/>
              </w:rPr>
              <w:t>办公室、职工服务中心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耀华留守处、柳江煤矿留守处</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keepNext w:val="0"/>
              <w:keepLines w:val="0"/>
              <w:pageBreakBefore w:val="0"/>
              <w:kinsoku/>
              <w:wordWrap/>
              <w:overflowPunct/>
              <w:topLinePunct w:val="0"/>
              <w:autoSpaceDE/>
              <w:autoSpaceDN/>
              <w:bidi w:val="0"/>
              <w:adjustRightInd w:val="0"/>
              <w:snapToGrid/>
              <w:spacing w:line="480" w:lineRule="exact"/>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刘正莉</w:t>
            </w:r>
          </w:p>
        </w:tc>
        <w:tc>
          <w:tcPr>
            <w:tcW w:w="3225" w:type="dxa"/>
            <w:vAlign w:val="center"/>
          </w:tcPr>
          <w:p>
            <w:pPr>
              <w:keepNext w:val="0"/>
              <w:keepLines w:val="0"/>
              <w:pageBreakBefore w:val="0"/>
              <w:kinsoku/>
              <w:wordWrap/>
              <w:overflowPunct/>
              <w:topLinePunct w:val="0"/>
              <w:autoSpaceDE/>
              <w:autoSpaceDN/>
              <w:bidi w:val="0"/>
              <w:adjustRightInd w:val="0"/>
              <w:snapToGrid/>
              <w:spacing w:line="480" w:lineRule="exact"/>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公司党委委员、总会计师</w:t>
            </w:r>
          </w:p>
        </w:tc>
        <w:tc>
          <w:tcPr>
            <w:tcW w:w="4575" w:type="dxa"/>
            <w:vAlign w:val="center"/>
          </w:tcPr>
          <w:p>
            <w:pPr>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负</w:t>
            </w:r>
            <w:r>
              <w:rPr>
                <w:rFonts w:hint="eastAsia" w:ascii="仿宋" w:hAnsi="仿宋" w:eastAsia="仿宋" w:cs="仿宋"/>
                <w:sz w:val="24"/>
                <w:szCs w:val="24"/>
              </w:rPr>
              <w:t>责财务融资管理、预算和成本管理、统计分析、二级单位财务监督；企业改制战略规划、企业文化与产业结构调整研究、市场研究预测策划、所属企业目标、业绩考核等方面的工作，分管财务融资部、企业改革与规划发展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keepNext w:val="0"/>
              <w:keepLines w:val="0"/>
              <w:pageBreakBefore w:val="0"/>
              <w:kinsoku/>
              <w:wordWrap/>
              <w:overflowPunct/>
              <w:topLinePunct w:val="0"/>
              <w:autoSpaceDE/>
              <w:autoSpaceDN/>
              <w:bidi w:val="0"/>
              <w:adjustRightInd w:val="0"/>
              <w:snapToGrid/>
              <w:spacing w:line="480" w:lineRule="exact"/>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方向明</w:t>
            </w:r>
          </w:p>
        </w:tc>
        <w:tc>
          <w:tcPr>
            <w:tcW w:w="3225" w:type="dxa"/>
            <w:vAlign w:val="center"/>
          </w:tcPr>
          <w:p>
            <w:pPr>
              <w:keepNext w:val="0"/>
              <w:keepLines w:val="0"/>
              <w:pageBreakBefore w:val="0"/>
              <w:kinsoku/>
              <w:wordWrap/>
              <w:overflowPunct/>
              <w:topLinePunct w:val="0"/>
              <w:autoSpaceDE/>
              <w:autoSpaceDN/>
              <w:bidi w:val="0"/>
              <w:adjustRightInd w:val="0"/>
              <w:snapToGrid/>
              <w:spacing w:line="480" w:lineRule="exact"/>
              <w:jc w:val="center"/>
              <w:textAlignment w:val="auto"/>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公司监事会主席</w:t>
            </w:r>
          </w:p>
        </w:tc>
        <w:tc>
          <w:tcPr>
            <w:tcW w:w="4575" w:type="dxa"/>
            <w:vAlign w:val="center"/>
          </w:tcPr>
          <w:p>
            <w:pPr>
              <w:keepNext w:val="0"/>
              <w:keepLines w:val="0"/>
              <w:pageBreakBefore w:val="0"/>
              <w:kinsoku/>
              <w:wordWrap/>
              <w:overflowPunct/>
              <w:topLinePunct w:val="0"/>
              <w:autoSpaceDE/>
              <w:autoSpaceDN/>
              <w:bidi w:val="0"/>
              <w:snapToGrid/>
              <w:spacing w:line="48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bl>
    <w:p>
      <w:pPr>
        <w:keepNext w:val="0"/>
        <w:keepLines w:val="0"/>
        <w:pageBreakBefore w:val="0"/>
        <w:kinsoku/>
        <w:wordWrap/>
        <w:overflowPunct/>
        <w:topLinePunct w:val="0"/>
        <w:autoSpaceDE/>
        <w:autoSpaceDN/>
        <w:bidi w:val="0"/>
        <w:adjustRightInd w:val="0"/>
        <w:snapToGrid/>
        <w:spacing w:line="48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（二）组织架构</w:t>
      </w:r>
    </w:p>
    <w:p>
      <w:pPr>
        <w:keepNext w:val="0"/>
        <w:keepLines w:val="0"/>
        <w:pageBreakBefore w:val="0"/>
        <w:kinsoku/>
        <w:wordWrap/>
        <w:overflowPunct/>
        <w:topLinePunct w:val="0"/>
        <w:autoSpaceDE/>
        <w:autoSpaceDN/>
        <w:bidi w:val="0"/>
        <w:adjustRightInd w:val="0"/>
        <w:snapToGrid/>
        <w:spacing w:line="4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公司党委会</w:t>
      </w:r>
      <w:r>
        <w:rPr>
          <w:rFonts w:hint="eastAsia" w:ascii="仿宋" w:hAnsi="仿宋" w:eastAsia="仿宋"/>
          <w:sz w:val="32"/>
          <w:szCs w:val="32"/>
        </w:rPr>
        <w:t>、董事会及经理层建设情况。公司不设股东会，由市国资委依法对公司行使其出资人职权。公司依法设董事会，由3名董事组成，其中董事长1名：王宝宏；董事2名：刘彦君、包放。公司经理层设总经理1名：刘彦君；副总经理3名:陈鹰、郝雅民、包放;总会计师1名:刘正莉。公司未成立纪委，设纪检办公室，纪检副书记1名：韩天野。</w:t>
      </w:r>
    </w:p>
    <w:p>
      <w:pPr>
        <w:keepNext w:val="0"/>
        <w:keepLines w:val="0"/>
        <w:pageBreakBefore w:val="0"/>
        <w:kinsoku/>
        <w:wordWrap/>
        <w:overflowPunct/>
        <w:topLinePunct w:val="0"/>
        <w:autoSpaceDE/>
        <w:autoSpaceDN/>
        <w:bidi w:val="0"/>
        <w:adjustRightInd w:val="0"/>
        <w:snapToGrid/>
        <w:spacing w:line="480" w:lineRule="exac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公司设监事会，监事会主席1名：方向明。职工监事2名：吴凡、梁晨。</w:t>
      </w:r>
    </w:p>
    <w:p>
      <w:pPr>
        <w:keepNext w:val="0"/>
        <w:keepLines w:val="0"/>
        <w:pageBreakBefore w:val="0"/>
        <w:numPr>
          <w:ilvl w:val="0"/>
          <w:numId w:val="1"/>
        </w:numPr>
        <w:kinsoku/>
        <w:wordWrap/>
        <w:overflowPunct/>
        <w:topLinePunct w:val="0"/>
        <w:autoSpaceDE/>
        <w:autoSpaceDN/>
        <w:bidi w:val="0"/>
        <w:snapToGrid/>
        <w:spacing w:line="480" w:lineRule="exact"/>
        <w:ind w:firstLine="645"/>
        <w:textAlignment w:val="auto"/>
        <w:rPr>
          <w:rFonts w:hint="eastAsia" w:ascii="仿宋" w:hAnsi="仿宋" w:eastAsia="仿宋"/>
          <w:sz w:val="32"/>
          <w:szCs w:val="32"/>
        </w:rPr>
      </w:pPr>
      <w:r>
        <w:rPr>
          <w:rFonts w:hint="eastAsia" w:ascii="仿宋" w:hAnsi="仿宋" w:eastAsia="仿宋"/>
          <w:sz w:val="32"/>
          <w:szCs w:val="32"/>
        </w:rPr>
        <w:t>内设机构</w:t>
      </w:r>
      <w:r>
        <w:rPr>
          <w:rFonts w:hint="eastAsia" w:ascii="仿宋" w:hAnsi="仿宋" w:eastAsia="仿宋"/>
          <w:sz w:val="32"/>
          <w:szCs w:val="32"/>
          <w:lang w:val="en-US" w:eastAsia="zh-CN"/>
        </w:rPr>
        <w:t>及部室职责</w:t>
      </w:r>
      <w:r>
        <w:rPr>
          <w:rFonts w:hint="eastAsia" w:ascii="仿宋" w:hAnsi="仿宋" w:eastAsia="仿宋"/>
          <w:sz w:val="32"/>
          <w:szCs w:val="32"/>
        </w:rPr>
        <w:t>。</w:t>
      </w:r>
    </w:p>
    <w:p>
      <w:pPr>
        <w:keepNext w:val="0"/>
        <w:keepLines w:val="0"/>
        <w:pageBreakBefore w:val="0"/>
        <w:numPr>
          <w:ilvl w:val="0"/>
          <w:numId w:val="0"/>
        </w:numPr>
        <w:kinsoku/>
        <w:wordWrap/>
        <w:overflowPunct/>
        <w:topLinePunct w:val="0"/>
        <w:autoSpaceDE/>
        <w:autoSpaceDN/>
        <w:bidi w:val="0"/>
        <w:snapToGrid/>
        <w:spacing w:line="48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公司下设9个职能部室：纪检办公室、党</w:t>
      </w:r>
      <w:r>
        <w:rPr>
          <w:rFonts w:hint="eastAsia" w:ascii="仿宋" w:hAnsi="仿宋" w:eastAsia="仿宋"/>
          <w:sz w:val="32"/>
          <w:szCs w:val="32"/>
          <w:lang w:val="en-US" w:eastAsia="zh-CN"/>
        </w:rPr>
        <w:t>群工作部</w:t>
      </w:r>
      <w:r>
        <w:rPr>
          <w:rFonts w:hint="eastAsia" w:ascii="仿宋" w:hAnsi="仿宋" w:eastAsia="仿宋"/>
          <w:sz w:val="32"/>
          <w:szCs w:val="32"/>
        </w:rPr>
        <w:t>、综合办公室、资产监管运营部、企业改革与规划发展部、离休干部和</w:t>
      </w:r>
      <w:r>
        <w:rPr>
          <w:rFonts w:hint="eastAsia" w:ascii="仿宋" w:hAnsi="仿宋" w:eastAsia="仿宋"/>
          <w:sz w:val="32"/>
          <w:szCs w:val="32"/>
          <w:lang w:val="en-US" w:eastAsia="zh-CN"/>
        </w:rPr>
        <w:t>人力资源</w:t>
      </w:r>
      <w:r>
        <w:rPr>
          <w:rFonts w:hint="eastAsia" w:ascii="仿宋" w:hAnsi="仿宋" w:eastAsia="仿宋"/>
          <w:sz w:val="32"/>
          <w:szCs w:val="32"/>
        </w:rPr>
        <w:t>部、信访维稳办公室、职工服务中心、财务融资部。</w:t>
      </w:r>
      <w:r>
        <w:rPr>
          <w:rFonts w:hint="eastAsia" w:ascii="仿宋" w:hAnsi="仿宋" w:eastAsia="仿宋"/>
          <w:sz w:val="32"/>
          <w:szCs w:val="32"/>
          <w:lang w:val="en-US" w:eastAsia="zh-CN"/>
        </w:rPr>
        <w:t>其工作职责：</w:t>
      </w:r>
    </w:p>
    <w:p>
      <w:pPr>
        <w:keepNext w:val="0"/>
        <w:keepLines w:val="0"/>
        <w:pageBreakBefore w:val="0"/>
        <w:kinsoku/>
        <w:wordWrap/>
        <w:overflowPunct/>
        <w:topLinePunct w:val="0"/>
        <w:autoSpaceDE/>
        <w:autoSpaceDN/>
        <w:bidi w:val="0"/>
        <w:snapToGrid/>
        <w:spacing w:line="480" w:lineRule="exact"/>
        <w:ind w:firstLine="645"/>
        <w:textAlignment w:val="auto"/>
        <w:rPr>
          <w:rFonts w:hint="eastAsia" w:ascii="仿宋" w:hAnsi="仿宋" w:eastAsia="仿宋"/>
          <w:sz w:val="32"/>
          <w:szCs w:val="32"/>
        </w:rPr>
      </w:pPr>
      <w:r>
        <w:rPr>
          <w:rFonts w:hint="eastAsia" w:ascii="仿宋" w:hAnsi="仿宋" w:eastAsia="仿宋"/>
          <w:sz w:val="32"/>
          <w:szCs w:val="32"/>
        </w:rPr>
        <w:t>党群工作部：负责系统内党的组织建设、精神文明建设、思想政治与统一战线工作；负责公司党委会承办工作；负责基层领导班子建设和管理考核工作；负责系统内维护稳定和社会治安综合治理；承担系统内党风廉政建设和反腐败工作的组织协调及日常工作；负责企业文化建设、对外宣传和新闻工作；负责建立完善选人、用人机制；指导推动干部培训和人才队伍建设；指导和协调工会、共青团、妇委会等群众组织工作。</w:t>
      </w:r>
    </w:p>
    <w:p>
      <w:pPr>
        <w:keepNext w:val="0"/>
        <w:keepLines w:val="0"/>
        <w:pageBreakBefore w:val="0"/>
        <w:kinsoku/>
        <w:wordWrap/>
        <w:overflowPunct/>
        <w:topLinePunct w:val="0"/>
        <w:autoSpaceDE/>
        <w:autoSpaceDN/>
        <w:bidi w:val="0"/>
        <w:snapToGrid/>
        <w:spacing w:line="480" w:lineRule="exact"/>
        <w:ind w:firstLine="645"/>
        <w:textAlignment w:val="auto"/>
        <w:rPr>
          <w:rFonts w:hint="eastAsia" w:ascii="仿宋" w:hAnsi="仿宋" w:eastAsia="仿宋"/>
          <w:sz w:val="32"/>
          <w:szCs w:val="32"/>
        </w:rPr>
      </w:pPr>
      <w:r>
        <w:rPr>
          <w:rFonts w:hint="eastAsia" w:ascii="仿宋" w:hAnsi="仿宋" w:eastAsia="仿宋"/>
          <w:sz w:val="32"/>
          <w:szCs w:val="32"/>
        </w:rPr>
        <w:t>纪委：负责指导所属企业的效能监察工作；按照管理权限，检查、处理所属企业党组织、党员、工作部门和人员的检举、控告和申诉以及违反党纪、政纪的重要案件；监管所属企业及领导人员遵纪守法和廉洁自律情况；起草、制定有关效能监察和廉政建设的规章制度。</w:t>
      </w:r>
    </w:p>
    <w:p>
      <w:pPr>
        <w:keepNext w:val="0"/>
        <w:keepLines w:val="0"/>
        <w:pageBreakBefore w:val="0"/>
        <w:kinsoku/>
        <w:wordWrap/>
        <w:overflowPunct/>
        <w:topLinePunct w:val="0"/>
        <w:autoSpaceDE/>
        <w:autoSpaceDN/>
        <w:bidi w:val="0"/>
        <w:snapToGrid/>
        <w:spacing w:line="480" w:lineRule="exact"/>
        <w:ind w:firstLine="645"/>
        <w:textAlignment w:val="auto"/>
        <w:rPr>
          <w:rFonts w:hint="eastAsia" w:ascii="仿宋" w:hAnsi="仿宋" w:eastAsia="仿宋"/>
          <w:sz w:val="32"/>
          <w:szCs w:val="32"/>
        </w:rPr>
      </w:pPr>
      <w:r>
        <w:rPr>
          <w:rFonts w:hint="eastAsia" w:ascii="仿宋" w:hAnsi="仿宋" w:eastAsia="仿宋"/>
          <w:sz w:val="32"/>
          <w:szCs w:val="32"/>
        </w:rPr>
        <w:t>综合办公室：负责公司机关的日常运转工作，负责行政、文秘、机要、保密、文书档案、公车管理、后勤保障、安全保卫工作；承办党政联席会议、董事会和总经理办公会会议各项工作；负责公司行政综合性文件和主要负责同志的文稿起草工作；负责领导交办事项和重要工作的督办；负责公司电子政务及信息化建设工作；负责组织汇总公司有关规章制度，负责内部规范性文件审核；研究国有企业改革和发展中的有关法律问题，负责法制宣传教育工作，承办公司法律事务。</w:t>
      </w:r>
    </w:p>
    <w:p>
      <w:pPr>
        <w:keepNext w:val="0"/>
        <w:keepLines w:val="0"/>
        <w:pageBreakBefore w:val="0"/>
        <w:kinsoku/>
        <w:wordWrap/>
        <w:overflowPunct/>
        <w:topLinePunct w:val="0"/>
        <w:autoSpaceDE/>
        <w:autoSpaceDN/>
        <w:bidi w:val="0"/>
        <w:snapToGrid/>
        <w:spacing w:line="480" w:lineRule="exact"/>
        <w:ind w:firstLine="645"/>
        <w:textAlignment w:val="auto"/>
        <w:rPr>
          <w:rFonts w:hint="eastAsia" w:ascii="仿宋" w:hAnsi="仿宋" w:eastAsia="仿宋"/>
          <w:sz w:val="32"/>
          <w:szCs w:val="32"/>
        </w:rPr>
      </w:pPr>
      <w:r>
        <w:rPr>
          <w:rFonts w:hint="eastAsia" w:ascii="仿宋" w:hAnsi="仿宋" w:eastAsia="仿宋"/>
          <w:sz w:val="32"/>
          <w:szCs w:val="32"/>
        </w:rPr>
        <w:t xml:space="preserve">资产监管运营部：承担公司资产的统计、监督管理及有效盘活工作，维护国有资产出资人的权益；负责研究提出公司系统内国有资产产权管理及处置的意见和建议；负责建立和完善国有资产保值增值指标体系，拟订考核标准；依法依规做好公司系统国有资产产权界定、登记、划转、处置及产权纠纷调处等方面的具体工作；对改制企业职工安置费抵押资产及股权转让等进行监管。 </w:t>
      </w:r>
    </w:p>
    <w:p>
      <w:pPr>
        <w:keepNext w:val="0"/>
        <w:keepLines w:val="0"/>
        <w:pageBreakBefore w:val="0"/>
        <w:kinsoku/>
        <w:wordWrap/>
        <w:overflowPunct/>
        <w:topLinePunct w:val="0"/>
        <w:autoSpaceDE/>
        <w:autoSpaceDN/>
        <w:bidi w:val="0"/>
        <w:snapToGrid/>
        <w:spacing w:line="480" w:lineRule="exact"/>
        <w:ind w:firstLine="645"/>
        <w:textAlignment w:val="auto"/>
        <w:rPr>
          <w:rFonts w:hint="eastAsia" w:ascii="仿宋" w:hAnsi="仿宋" w:eastAsia="仿宋"/>
          <w:sz w:val="32"/>
          <w:szCs w:val="32"/>
        </w:rPr>
      </w:pPr>
      <w:r>
        <w:rPr>
          <w:rFonts w:hint="eastAsia" w:ascii="仿宋" w:hAnsi="仿宋" w:eastAsia="仿宋"/>
          <w:sz w:val="32"/>
          <w:szCs w:val="32"/>
        </w:rPr>
        <w:t>财务融资部：负责拟订公司系统国有资本经营预算与财务监督的制度和管理办法；负责公司日常财务核算及公司年度财务预决算工作；负责公司系统财务档案管理工作；承担指导所属企业清产核资和资产损失核销工作；负责组织公司机关财务会计人员的培训工作；负责对所属企业及留守处年度财务审计工作；负责公司范围内资金拨付使用情况的监督管理；负责国有资本投资的跟踪管理和效益分析；负责公司项目融资相关工作。</w:t>
      </w:r>
    </w:p>
    <w:p>
      <w:pPr>
        <w:keepNext w:val="0"/>
        <w:keepLines w:val="0"/>
        <w:pageBreakBefore w:val="0"/>
        <w:kinsoku/>
        <w:wordWrap/>
        <w:overflowPunct/>
        <w:topLinePunct w:val="0"/>
        <w:autoSpaceDE/>
        <w:autoSpaceDN/>
        <w:bidi w:val="0"/>
        <w:snapToGrid/>
        <w:spacing w:line="480" w:lineRule="exact"/>
        <w:ind w:firstLine="645"/>
        <w:textAlignment w:val="auto"/>
        <w:rPr>
          <w:rFonts w:hint="eastAsia" w:ascii="仿宋" w:hAnsi="仿宋" w:eastAsia="仿宋"/>
          <w:sz w:val="32"/>
          <w:szCs w:val="32"/>
        </w:rPr>
      </w:pPr>
      <w:r>
        <w:rPr>
          <w:rFonts w:hint="eastAsia" w:ascii="仿宋" w:hAnsi="仿宋" w:eastAsia="仿宋"/>
          <w:sz w:val="32"/>
          <w:szCs w:val="32"/>
        </w:rPr>
        <w:t xml:space="preserve">企业改革与规划发展部：负责推进公司系统企业改制及改制企业的档案管理工作；协调解决企业改制中存在的主要问题；完善公司治理结构；负责研究制定企业发展规划；负责企业资产整合、投融资等重大经营活动组织风险评估并实施监管；搜集、分析各行业发展信息和重点行业发展趋势。 </w:t>
      </w:r>
    </w:p>
    <w:p>
      <w:pPr>
        <w:keepNext w:val="0"/>
        <w:keepLines w:val="0"/>
        <w:pageBreakBefore w:val="0"/>
        <w:kinsoku/>
        <w:wordWrap/>
        <w:overflowPunct/>
        <w:topLinePunct w:val="0"/>
        <w:autoSpaceDE/>
        <w:autoSpaceDN/>
        <w:bidi w:val="0"/>
        <w:snapToGrid/>
        <w:spacing w:line="480" w:lineRule="exact"/>
        <w:ind w:firstLine="645"/>
        <w:textAlignment w:val="auto"/>
        <w:rPr>
          <w:rFonts w:hint="eastAsia" w:ascii="仿宋" w:hAnsi="仿宋" w:eastAsia="仿宋"/>
          <w:sz w:val="32"/>
          <w:szCs w:val="32"/>
        </w:rPr>
      </w:pPr>
      <w:r>
        <w:rPr>
          <w:rFonts w:hint="eastAsia" w:ascii="仿宋" w:hAnsi="仿宋" w:eastAsia="仿宋"/>
          <w:sz w:val="32"/>
          <w:szCs w:val="32"/>
        </w:rPr>
        <w:t>离休干部和人力资源部：负责公司离退休干部和职工的管理和服务工作；综合管理公司离退休干部和职工的党务、人事、工资、档案等工作；负责建立健全统一规范的人力资源结构；按规定建立完善收入分配制度，拟定薪酬制度和激励方式；承担专业技术人员队伍建设和技能人才队伍建设以及职改的职责；履行社会保障制度和政策体系的落实职责；按照管理权限，负责机关中层正职及以下人员的档案管理工作。</w:t>
      </w:r>
    </w:p>
    <w:p>
      <w:pPr>
        <w:keepNext w:val="0"/>
        <w:keepLines w:val="0"/>
        <w:pageBreakBefore w:val="0"/>
        <w:kinsoku/>
        <w:wordWrap/>
        <w:overflowPunct/>
        <w:topLinePunct w:val="0"/>
        <w:autoSpaceDE/>
        <w:autoSpaceDN/>
        <w:bidi w:val="0"/>
        <w:snapToGrid/>
        <w:spacing w:line="480" w:lineRule="exact"/>
        <w:ind w:firstLine="645"/>
        <w:textAlignment w:val="auto"/>
        <w:rPr>
          <w:rFonts w:hint="eastAsia" w:ascii="仿宋" w:hAnsi="仿宋" w:eastAsia="仿宋"/>
          <w:sz w:val="32"/>
          <w:szCs w:val="32"/>
        </w:rPr>
      </w:pPr>
      <w:r>
        <w:rPr>
          <w:rFonts w:hint="eastAsia" w:ascii="仿宋" w:hAnsi="仿宋" w:eastAsia="仿宋"/>
          <w:sz w:val="32"/>
          <w:szCs w:val="32"/>
        </w:rPr>
        <w:t>职工服务中心：负责托管企业和职工的管理和服务；负责统筹管理企业复转军人及退役士兵政策落实工作；承担协调处理所属企业改制后遗留问题职责；负责对改制后企业未出售公有住房等相关资产进行全程跟踪、审核、报批备案、建档；配合有关部门做好改制企业职工住宅区“三供一业”工作；负责指导国有企业改制职工分流安置方案的制定与实施有关工作；负责改制企业留守处和工作人员的管理；承担公司机关和所属企业安全生产及应急处突等工作职责。</w:t>
      </w:r>
    </w:p>
    <w:p>
      <w:pPr>
        <w:keepNext w:val="0"/>
        <w:keepLines w:val="0"/>
        <w:pageBreakBefore w:val="0"/>
        <w:kinsoku/>
        <w:wordWrap/>
        <w:overflowPunct/>
        <w:topLinePunct w:val="0"/>
        <w:autoSpaceDE/>
        <w:autoSpaceDN/>
        <w:bidi w:val="0"/>
        <w:snapToGrid/>
        <w:spacing w:line="480" w:lineRule="exact"/>
        <w:ind w:firstLine="645"/>
        <w:textAlignment w:val="auto"/>
        <w:rPr>
          <w:rFonts w:hint="eastAsia" w:ascii="仿宋" w:hAnsi="仿宋" w:eastAsia="仿宋"/>
          <w:sz w:val="32"/>
          <w:szCs w:val="32"/>
        </w:rPr>
      </w:pPr>
      <w:r>
        <w:rPr>
          <w:rFonts w:hint="eastAsia" w:ascii="仿宋" w:hAnsi="仿宋" w:eastAsia="仿宋"/>
          <w:sz w:val="32"/>
          <w:szCs w:val="32"/>
        </w:rPr>
        <w:t>信访维稳办：按照信访条例，规范协调和处理公司系统职工群众来信来访工作；负责协调所属企业在防范和处理邪教问题方面的工作；承办市长公开电话等上级交办事项的回复工作；协调督导系统内企业维稳任务及改制政策的落实工作；负责做好预防突发事件和群体事件发生工作；妥善处理好各类信访案件，维护稳定。</w:t>
      </w:r>
    </w:p>
    <w:p>
      <w:pPr>
        <w:keepNext w:val="0"/>
        <w:keepLines w:val="0"/>
        <w:pageBreakBefore w:val="0"/>
        <w:numPr>
          <w:ilvl w:val="0"/>
          <w:numId w:val="2"/>
        </w:numPr>
        <w:kinsoku/>
        <w:wordWrap/>
        <w:overflowPunct/>
        <w:topLinePunct w:val="0"/>
        <w:autoSpaceDE/>
        <w:autoSpaceDN/>
        <w:bidi w:val="0"/>
        <w:snapToGrid/>
        <w:spacing w:line="48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rPr>
        <w:t>经营状况</w:t>
      </w:r>
    </w:p>
    <w:p>
      <w:pPr>
        <w:keepNext w:val="0"/>
        <w:keepLines w:val="0"/>
        <w:pageBreakBefore w:val="0"/>
        <w:kinsoku/>
        <w:wordWrap/>
        <w:overflowPunct/>
        <w:topLinePunct w:val="0"/>
        <w:autoSpaceDE/>
        <w:autoSpaceDN/>
        <w:bidi w:val="0"/>
        <w:snapToGrid/>
        <w:spacing w:line="4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(一）</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年度工作总结</w:t>
      </w:r>
    </w:p>
    <w:p>
      <w:pPr>
        <w:keepNext w:val="0"/>
        <w:keepLines w:val="0"/>
        <w:pageBreakBefore w:val="0"/>
        <w:kinsoku/>
        <w:wordWrap/>
        <w:overflowPunct/>
        <w:topLinePunct w:val="0"/>
        <w:autoSpaceDE/>
        <w:autoSpaceDN/>
        <w:bidi w:val="0"/>
        <w:snapToGrid/>
        <w:spacing w:line="480" w:lineRule="exact"/>
        <w:ind w:firstLine="645"/>
        <w:textAlignment w:val="auto"/>
        <w:rPr>
          <w:rFonts w:hint="eastAsia" w:ascii="仿宋" w:hAnsi="仿宋" w:eastAsia="仿宋"/>
          <w:sz w:val="32"/>
          <w:szCs w:val="32"/>
        </w:rPr>
      </w:pPr>
      <w:r>
        <w:rPr>
          <w:rFonts w:hint="eastAsia" w:ascii="仿宋" w:hAnsi="仿宋" w:eastAsia="仿宋"/>
          <w:sz w:val="32"/>
          <w:szCs w:val="32"/>
        </w:rPr>
        <w:t xml:space="preserve">2021年，公司党委及行政班子按照市国资委党委的工作部署，紧密结合年度工作考核目标，全面落实两个“主体责任”，落实全面从严治党主体责任，牢牢把握意识形态工作主动权，充分发挥基层党组织引领作用，积极推进公司各项重点工作，努力维护系统内职工队伍稳定和社会安全，较好地完成了各项任务。 </w:t>
      </w:r>
    </w:p>
    <w:p>
      <w:pPr>
        <w:keepNext w:val="0"/>
        <w:keepLines w:val="0"/>
        <w:pageBreakBefore w:val="0"/>
        <w:numPr>
          <w:ilvl w:val="0"/>
          <w:numId w:val="0"/>
        </w:numPr>
        <w:kinsoku/>
        <w:wordWrap/>
        <w:overflowPunct/>
        <w:topLinePunct w:val="0"/>
        <w:autoSpaceDE/>
        <w:autoSpaceDN/>
        <w:bidi w:val="0"/>
        <w:snapToGrid/>
        <w:spacing w:line="48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w:t>
      </w:r>
      <w:r>
        <w:rPr>
          <w:rFonts w:hint="eastAsia" w:ascii="仿宋" w:hAnsi="仿宋" w:eastAsia="仿宋"/>
          <w:sz w:val="32"/>
          <w:szCs w:val="32"/>
        </w:rPr>
        <w:t>落实两个“主体责任”，充分发挥基层党组织引领作用。</w:t>
      </w:r>
      <w:r>
        <w:rPr>
          <w:rFonts w:hint="eastAsia" w:ascii="仿宋" w:hAnsi="仿宋" w:eastAsia="仿宋"/>
          <w:sz w:val="32"/>
          <w:szCs w:val="32"/>
          <w:lang w:val="en-US" w:eastAsia="zh-CN"/>
        </w:rPr>
        <w:t>不断加强党史学习教育，坚持学习常态化。以党一百周年华诞为契机，将党史学习教育作为一项政治任务贯穿党建工作始终，开展“学习新思想、三员走基层”领导干部讲党课活动，共组织开展4轮20人次宣讲。充分利用我市红色教育资源，学习历史追寻红色记忆，组织全体党员干部参观花场峪抗日纪念馆和烈士陵园；组织红色观影活动，先后观看《谷子地》《悬崖之上》《1921》等红色影片，增强党员干部的爱国主义情操，不断提升党性修养；组织红色家书诗歌朗诵比赛、学习强国读书笔记展示等活动，大大激发党员干部职工的学习热情和提升综合素质。以走访慰问为载体，积极开展送学上门。为离休干部送去《中国共产党简史》、天猫精灵学习工具和春节慰问信等相关资料400余件份，为51位老干部发放了光荣在党50年纪念章。推动</w:t>
      </w:r>
      <w:r>
        <w:rPr>
          <w:rFonts w:hint="default" w:ascii="仿宋" w:hAnsi="仿宋" w:eastAsia="仿宋"/>
          <w:sz w:val="32"/>
          <w:szCs w:val="32"/>
          <w:lang w:val="en" w:eastAsia="zh-CN"/>
        </w:rPr>
        <w:t>党史学习教育</w:t>
      </w:r>
      <w:r>
        <w:rPr>
          <w:rFonts w:hint="eastAsia" w:ascii="仿宋" w:hAnsi="仿宋" w:eastAsia="仿宋"/>
          <w:sz w:val="32"/>
          <w:szCs w:val="32"/>
          <w:lang w:val="en-US" w:eastAsia="zh-CN"/>
        </w:rPr>
        <w:t>落实。认真落实市委老干部局部署的“晒晒我的红色印记”活动，妥善安排离休干部赵光寿同志为市委组织部、老干部局、青少年活动中心等多家单位现场讲传战斗经历和革命历史。孙昌河、赵光寿等老革命多次受到省市领导看望和新闻媒体采录宣传，彰显了我公司党委“</w:t>
      </w:r>
      <w:r>
        <w:rPr>
          <w:rFonts w:hint="default" w:ascii="仿宋" w:hAnsi="仿宋" w:eastAsia="仿宋"/>
          <w:sz w:val="32"/>
          <w:szCs w:val="32"/>
          <w:lang w:val="en" w:eastAsia="zh-CN"/>
        </w:rPr>
        <w:t>党史学习教育</w:t>
      </w:r>
      <w:r>
        <w:rPr>
          <w:rFonts w:hint="eastAsia" w:ascii="仿宋" w:hAnsi="仿宋" w:eastAsia="仿宋"/>
          <w:sz w:val="32"/>
          <w:szCs w:val="32"/>
          <w:lang w:val="en-US" w:eastAsia="zh-CN"/>
        </w:rPr>
        <w:t>”的丰硕成果！</w:t>
      </w:r>
    </w:p>
    <w:p>
      <w:pPr>
        <w:keepNext w:val="0"/>
        <w:keepLines w:val="0"/>
        <w:pageBreakBefore w:val="0"/>
        <w:kinsoku/>
        <w:wordWrap/>
        <w:overflowPunct/>
        <w:topLinePunct w:val="0"/>
        <w:autoSpaceDE/>
        <w:autoSpaceDN/>
        <w:bidi w:val="0"/>
        <w:snapToGrid/>
        <w:spacing w:line="480" w:lineRule="exact"/>
        <w:ind w:firstLine="645"/>
        <w:textAlignment w:val="auto"/>
        <w:rPr>
          <w:rFonts w:hint="eastAsia" w:ascii="仿宋" w:hAnsi="仿宋" w:eastAsia="仿宋"/>
          <w:sz w:val="32"/>
          <w:szCs w:val="32"/>
        </w:rPr>
      </w:pPr>
      <w:r>
        <w:rPr>
          <w:rFonts w:hint="eastAsia" w:ascii="仿宋" w:hAnsi="仿宋" w:eastAsia="仿宋"/>
          <w:sz w:val="32"/>
          <w:szCs w:val="32"/>
          <w:lang w:val="en-US" w:eastAsia="zh-CN"/>
        </w:rPr>
        <w:t>坚持精准施策，助力脱贫攻坚。28名干部职工与青龙县土门子镇东蒿村26名贫困户结对子，定期到家中走访探望，及时掌握基本情况，送去米面油等生活必需品，为青龙县土门子镇东蒿村小学捐赠价值8000元的图书和学习用品。</w:t>
      </w:r>
    </w:p>
    <w:p>
      <w:pPr>
        <w:keepNext w:val="0"/>
        <w:keepLines w:val="0"/>
        <w:pageBreakBefore w:val="0"/>
        <w:kinsoku/>
        <w:wordWrap/>
        <w:overflowPunct/>
        <w:topLinePunct w:val="0"/>
        <w:autoSpaceDE/>
        <w:autoSpaceDN/>
        <w:bidi w:val="0"/>
        <w:snapToGrid/>
        <w:spacing w:line="480" w:lineRule="exact"/>
        <w:ind w:firstLine="645"/>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牢牢把握意识形态工作主动权，落实全面从严治党主体责任。</w:t>
      </w:r>
      <w:bookmarkStart w:id="0" w:name="_GoBack"/>
      <w:bookmarkEnd w:id="0"/>
    </w:p>
    <w:p>
      <w:pPr>
        <w:keepNext w:val="0"/>
        <w:keepLines w:val="0"/>
        <w:pageBreakBefore w:val="0"/>
        <w:kinsoku/>
        <w:wordWrap/>
        <w:overflowPunct/>
        <w:topLinePunct w:val="0"/>
        <w:autoSpaceDE/>
        <w:autoSpaceDN/>
        <w:bidi w:val="0"/>
        <w:snapToGrid/>
        <w:spacing w:line="480" w:lineRule="exact"/>
        <w:ind w:firstLine="645"/>
        <w:textAlignment w:val="auto"/>
        <w:rPr>
          <w:rFonts w:hint="eastAsia" w:ascii="仿宋" w:hAnsi="仿宋" w:eastAsia="仿宋"/>
          <w:sz w:val="32"/>
          <w:szCs w:val="32"/>
        </w:rPr>
      </w:pPr>
      <w:r>
        <w:rPr>
          <w:rFonts w:hint="eastAsia" w:ascii="仿宋" w:hAnsi="仿宋" w:eastAsia="仿宋"/>
          <w:sz w:val="32"/>
          <w:szCs w:val="32"/>
        </w:rPr>
        <w:t>加强意识形态工作，筑牢思想防线。一是注重建立意识形态工作责任制。公司党委强化责任落实，充分学习贯彻中央、省委、市委、市国资委党委意识形态工作相关文件及重要部署。二是严格落实党委会第一议题学习制度，党委中心组学习制度， 三是注重加强舆论宣传引导。制定学习强国考核制度，使公司机关党员参与率100%，加强网上工作群及舆情的监督管理，加强网上正面思想舆论宣传，确保网上舆论平稳健康。</w:t>
      </w:r>
    </w:p>
    <w:p>
      <w:pPr>
        <w:keepNext w:val="0"/>
        <w:keepLines w:val="0"/>
        <w:pageBreakBefore w:val="0"/>
        <w:kinsoku/>
        <w:wordWrap/>
        <w:overflowPunct/>
        <w:topLinePunct w:val="0"/>
        <w:autoSpaceDE/>
        <w:autoSpaceDN/>
        <w:bidi w:val="0"/>
        <w:snapToGrid/>
        <w:spacing w:line="480" w:lineRule="exact"/>
        <w:ind w:firstLine="645"/>
        <w:textAlignment w:val="auto"/>
        <w:rPr>
          <w:rFonts w:hint="eastAsia" w:ascii="仿宋" w:hAnsi="仿宋" w:eastAsia="仿宋"/>
          <w:sz w:val="32"/>
          <w:szCs w:val="32"/>
        </w:rPr>
      </w:pPr>
      <w:r>
        <w:rPr>
          <w:rFonts w:hint="eastAsia" w:ascii="仿宋" w:hAnsi="仿宋" w:eastAsia="仿宋"/>
          <w:sz w:val="32"/>
          <w:szCs w:val="32"/>
        </w:rPr>
        <w:t>坚定不移</w:t>
      </w:r>
      <w:r>
        <w:rPr>
          <w:rFonts w:hint="eastAsia" w:ascii="仿宋" w:hAnsi="仿宋" w:eastAsia="仿宋"/>
          <w:sz w:val="32"/>
          <w:szCs w:val="32"/>
          <w:lang w:eastAsia="zh-CN"/>
        </w:rPr>
        <w:t>全面</w:t>
      </w:r>
      <w:r>
        <w:rPr>
          <w:rFonts w:hint="eastAsia" w:ascii="仿宋" w:hAnsi="仿宋" w:eastAsia="仿宋"/>
          <w:sz w:val="32"/>
          <w:szCs w:val="32"/>
        </w:rPr>
        <w:t>从严治党向纵深发展。深入开展党的基本理论教育、宗旨教育、警示教育和党纪政纪条规教育，把政治建设摆在首位。按照市纪委对党风廉政建设和反腐败工作的新要求，结合公司实际，扎实有效地开展党风廉政建设和反腐倡廉工作。</w:t>
      </w:r>
    </w:p>
    <w:p>
      <w:pPr>
        <w:keepNext w:val="0"/>
        <w:keepLines w:val="0"/>
        <w:pageBreakBefore w:val="0"/>
        <w:kinsoku/>
        <w:wordWrap/>
        <w:overflowPunct/>
        <w:topLinePunct w:val="0"/>
        <w:autoSpaceDE/>
        <w:autoSpaceDN/>
        <w:bidi w:val="0"/>
        <w:snapToGrid/>
        <w:spacing w:line="480" w:lineRule="exact"/>
        <w:ind w:firstLine="645"/>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积极有效推进企业改制及善后工作，不断加强改制后企业监管力度。</w:t>
      </w:r>
    </w:p>
    <w:p>
      <w:pPr>
        <w:keepNext w:val="0"/>
        <w:keepLines w:val="0"/>
        <w:pageBreakBefore w:val="0"/>
        <w:kinsoku/>
        <w:wordWrap/>
        <w:overflowPunct/>
        <w:topLinePunct w:val="0"/>
        <w:autoSpaceDE/>
        <w:autoSpaceDN/>
        <w:bidi w:val="0"/>
        <w:snapToGrid/>
        <w:spacing w:line="480" w:lineRule="exact"/>
        <w:ind w:firstLine="645"/>
        <w:textAlignment w:val="auto"/>
        <w:rPr>
          <w:rFonts w:hint="eastAsia" w:ascii="仿宋" w:hAnsi="仿宋" w:eastAsia="仿宋"/>
          <w:sz w:val="32"/>
          <w:szCs w:val="32"/>
        </w:rPr>
      </w:pPr>
      <w:r>
        <w:rPr>
          <w:rFonts w:hint="eastAsia" w:ascii="仿宋" w:hAnsi="仿宋" w:eastAsia="仿宋"/>
          <w:sz w:val="32"/>
          <w:szCs w:val="32"/>
        </w:rPr>
        <w:t>积极推进奥莱特破产清算后续工作。按照法院的破产终结裁定，加快推进终结审计前的各项工作。一是敏感债权已基本清偿完毕，资产处置等相关资料已顺利移交；二是与市城发集团沟通协调，积极配合解决因税款争议、手续不健全等原因, 导致腈纶厂过户手续办理不顺畅等问题，目前已完成码头过户手续，土地过户正在办理中。三是着手办理企业的工商、税务的注销手续，四是做好终结审计准备工作，解散破产清算工作组。</w:t>
      </w:r>
    </w:p>
    <w:p>
      <w:pPr>
        <w:keepNext w:val="0"/>
        <w:keepLines w:val="0"/>
        <w:pageBreakBefore w:val="0"/>
        <w:kinsoku/>
        <w:wordWrap/>
        <w:overflowPunct/>
        <w:topLinePunct w:val="0"/>
        <w:autoSpaceDE/>
        <w:autoSpaceDN/>
        <w:bidi w:val="0"/>
        <w:snapToGrid/>
        <w:spacing w:line="480" w:lineRule="exact"/>
        <w:ind w:firstLine="645"/>
        <w:textAlignment w:val="auto"/>
        <w:rPr>
          <w:rFonts w:hint="eastAsia" w:ascii="仿宋" w:hAnsi="仿宋" w:eastAsia="仿宋"/>
          <w:sz w:val="32"/>
          <w:szCs w:val="32"/>
        </w:rPr>
      </w:pPr>
      <w:r>
        <w:rPr>
          <w:rFonts w:hint="eastAsia" w:ascii="仿宋" w:hAnsi="仿宋" w:eastAsia="仿宋"/>
          <w:sz w:val="32"/>
          <w:szCs w:val="32"/>
        </w:rPr>
        <w:t>稳步推动长荣腈纶绒线有限公司强制清算工作。完成了对长荣公司申请制清算的申报材料并上报法院。法院已下达长荣公司强制清算裁定书，目前正抓紧测算职工拖欠及安置费用，待清算组审核后，起草清算报告提交债权人会议审核，清算工作已按程序推进，力争年底前完成清算程序。积极协调法院、工商、公安等有关部门，推进燕玻厂破产清算工作。法院已下达宣告破产裁定书、指定管理人决定书。目前清算工作正按程序进行，但由于该企业改制时间较长，人员更替严重，账册丢失等原因致使企业资产负债情况无法查实，企业破产清算障碍性因素较多，进度将会受到较大影响。</w:t>
      </w:r>
    </w:p>
    <w:p>
      <w:pPr>
        <w:keepNext w:val="0"/>
        <w:keepLines w:val="0"/>
        <w:pageBreakBefore w:val="0"/>
        <w:kinsoku/>
        <w:wordWrap/>
        <w:overflowPunct/>
        <w:topLinePunct w:val="0"/>
        <w:autoSpaceDE/>
        <w:autoSpaceDN/>
        <w:bidi w:val="0"/>
        <w:snapToGrid/>
        <w:spacing w:line="480" w:lineRule="exact"/>
        <w:ind w:firstLine="645"/>
        <w:textAlignment w:val="auto"/>
        <w:rPr>
          <w:rFonts w:hint="eastAsia" w:ascii="仿宋" w:hAnsi="仿宋" w:eastAsia="仿宋"/>
          <w:sz w:val="32"/>
          <w:szCs w:val="32"/>
        </w:rPr>
      </w:pPr>
      <w:r>
        <w:rPr>
          <w:rFonts w:hint="eastAsia" w:ascii="仿宋" w:hAnsi="仿宋" w:eastAsia="仿宋"/>
          <w:sz w:val="32"/>
          <w:szCs w:val="32"/>
        </w:rPr>
        <w:t>强化监管力度和服务意识，妥善处理改制遗留问题。公司一直秉承服务意识，努力做好改制企业的服务工作，支持企业不断壮大发展。在股权变更、资产转让等方面加强监管，确保职工安置费用及职工利益落到实处。对国资委近期划转的12家耀华辅业改制后企业进行有效监管，及时摸清企业情况及存在问题。为确保职工工资、保险费用发放等权益不受损害，对相关企业做资产抵押要求。对山化纤一分厂土地资产遗留问题处置、市煤矿机械厂原法人冯军智在税务部门被列入非正常户法人，对耀华运输有限责任公司原解除合同人员（共涉及40人）的解除合同补偿金及利息测算等企业遗留问题专项研究，积极解决。</w:t>
      </w:r>
    </w:p>
    <w:p>
      <w:pPr>
        <w:keepNext w:val="0"/>
        <w:keepLines w:val="0"/>
        <w:pageBreakBefore w:val="0"/>
        <w:kinsoku/>
        <w:wordWrap/>
        <w:overflowPunct/>
        <w:topLinePunct w:val="0"/>
        <w:autoSpaceDE/>
        <w:autoSpaceDN/>
        <w:bidi w:val="0"/>
        <w:snapToGrid/>
        <w:spacing w:line="480" w:lineRule="exact"/>
        <w:ind w:firstLine="645"/>
        <w:textAlignment w:val="auto"/>
        <w:rPr>
          <w:rFonts w:hint="eastAsia" w:ascii="仿宋" w:hAnsi="仿宋" w:eastAsia="仿宋"/>
          <w:sz w:val="32"/>
          <w:szCs w:val="32"/>
        </w:rPr>
      </w:pPr>
      <w:r>
        <w:rPr>
          <w:rFonts w:hint="eastAsia" w:ascii="仿宋" w:hAnsi="仿宋" w:eastAsia="仿宋"/>
          <w:sz w:val="32"/>
          <w:szCs w:val="32"/>
        </w:rPr>
        <w:t>推进所属企业公司制改革工作。为积极落实市企改办下达的47家企业注销任务，公司迅速集结，全力推进，并提出“四个第一”工作原则，即：第一时间沟通企业、第一时间沉入一线、第一时间找准症结、第一时间成果反馈。截</w:t>
      </w:r>
      <w:r>
        <w:rPr>
          <w:rFonts w:hint="eastAsia" w:ascii="仿宋" w:hAnsi="仿宋" w:eastAsia="仿宋"/>
          <w:sz w:val="32"/>
          <w:szCs w:val="32"/>
          <w:lang w:eastAsia="zh-CN"/>
        </w:rPr>
        <w:t>至</w:t>
      </w:r>
      <w:r>
        <w:rPr>
          <w:rFonts w:hint="eastAsia" w:ascii="仿宋" w:hAnsi="仿宋" w:eastAsia="仿宋"/>
          <w:sz w:val="32"/>
          <w:szCs w:val="32"/>
        </w:rPr>
        <w:t>目前，15家企业注销已办结，另敦促协助耀华集团工作人员办理其5家下属企业的注销工作。</w:t>
      </w:r>
    </w:p>
    <w:p>
      <w:pPr>
        <w:keepNext w:val="0"/>
        <w:keepLines w:val="0"/>
        <w:pageBreakBefore w:val="0"/>
        <w:kinsoku/>
        <w:wordWrap/>
        <w:overflowPunct/>
        <w:topLinePunct w:val="0"/>
        <w:autoSpaceDE/>
        <w:autoSpaceDN/>
        <w:bidi w:val="0"/>
        <w:snapToGrid/>
        <w:spacing w:line="480" w:lineRule="exact"/>
        <w:ind w:firstLine="645"/>
        <w:textAlignment w:val="auto"/>
        <w:rPr>
          <w:rFonts w:hint="eastAsia" w:ascii="仿宋" w:hAnsi="仿宋" w:eastAsia="仿宋"/>
          <w:sz w:val="32"/>
          <w:szCs w:val="32"/>
        </w:rPr>
      </w:pPr>
      <w:r>
        <w:rPr>
          <w:rFonts w:hint="eastAsia" w:ascii="仿宋" w:hAnsi="仿宋" w:eastAsia="仿宋"/>
          <w:sz w:val="32"/>
          <w:szCs w:val="32"/>
        </w:rPr>
        <w:t>着力解决企业职工最为关注的问题。一是测算耀华运输有限责任公司原解除合同40余人的解除合同补偿金及利息共计20.5万，并由秦皇岛市国有房地产开发有限公司先行垫付，待市国土部门对运输公司土地进行收储时，用其返还收储成本资金清偿。二是与区法院、市工伤保险处数次协调沟通，耀华运输公司职工王新江经济补偿金一案已圆满解决。三是协助中包造纸公司债权人雨田房地产公司等办理清偿敏感债务手续。四是依据城镇职工医保改革实施方案，积极与市医保局沟通，反馈山啤酒退休职工补缴医保欠缴诉求。五是协助耀华制衣公司完成其公司占有土地及地上建筑物的置换拆迁补偿工作。六是积极协助办理原耀华职工张立勇的海港区燕阳里小区11-4-38号房产产权手续。七是完成“三供一业”分离移交情况的全面梳理，对监管企业职工供水、供电、供暖和尚未进行“一户一表”维修改造摸排工作已完成，共计维修改造费用预算金额17874800元，下步还需在国资委的统筹协调安排下，积极推进。</w:t>
      </w:r>
    </w:p>
    <w:p>
      <w:pPr>
        <w:keepNext w:val="0"/>
        <w:keepLines w:val="0"/>
        <w:pageBreakBefore w:val="0"/>
        <w:kinsoku/>
        <w:wordWrap/>
        <w:overflowPunct/>
        <w:topLinePunct w:val="0"/>
        <w:autoSpaceDE/>
        <w:autoSpaceDN/>
        <w:bidi w:val="0"/>
        <w:snapToGrid/>
        <w:spacing w:line="480" w:lineRule="exact"/>
        <w:ind w:firstLine="645"/>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加大国有资产监管处置力度，规范监督管理制度。</w:t>
      </w:r>
    </w:p>
    <w:p>
      <w:pPr>
        <w:keepNext w:val="0"/>
        <w:keepLines w:val="0"/>
        <w:pageBreakBefore w:val="0"/>
        <w:kinsoku/>
        <w:wordWrap/>
        <w:overflowPunct/>
        <w:topLinePunct w:val="0"/>
        <w:autoSpaceDE/>
        <w:autoSpaceDN/>
        <w:bidi w:val="0"/>
        <w:snapToGrid/>
        <w:spacing w:line="480" w:lineRule="exact"/>
        <w:ind w:firstLine="645"/>
        <w:textAlignment w:val="auto"/>
        <w:rPr>
          <w:rFonts w:hint="eastAsia" w:ascii="仿宋" w:hAnsi="仿宋" w:eastAsia="仿宋"/>
          <w:sz w:val="32"/>
          <w:szCs w:val="32"/>
        </w:rPr>
      </w:pPr>
      <w:r>
        <w:rPr>
          <w:rFonts w:hint="eastAsia" w:ascii="仿宋" w:hAnsi="仿宋" w:eastAsia="仿宋"/>
          <w:sz w:val="32"/>
          <w:szCs w:val="32"/>
        </w:rPr>
        <w:t>在国有资产监管处置方面，公司坚持依法依规，注重建章立制，保持国有资产保值增值。近年来，公司完成了系统内国有资产清查整理工作，对公司直属资产及企业留守处资产进行有效盘活利用。采取法拍方式，将债权包中龙福特资产有效进行整理，目前正进行资产整体改造提升工程。通过努力，完成金龙源股权转让款及滞纳金催缴及山海关新华市场门市房</w:t>
      </w:r>
      <w:r>
        <w:rPr>
          <w:rFonts w:hint="eastAsia" w:ascii="仿宋" w:hAnsi="仿宋" w:eastAsia="仿宋"/>
          <w:sz w:val="32"/>
          <w:szCs w:val="32"/>
          <w:lang w:eastAsia="zh-CN"/>
        </w:rPr>
        <w:t>拆迁</w:t>
      </w:r>
      <w:r>
        <w:rPr>
          <w:rFonts w:hint="eastAsia" w:ascii="仿宋" w:hAnsi="仿宋" w:eastAsia="仿宋"/>
          <w:sz w:val="32"/>
          <w:szCs w:val="32"/>
        </w:rPr>
        <w:t>补偿款催收工作。中国核工作秦皇岛长城有限公司股权转让款本金及滞纳金合计971.78万元已全部偿还，使长达17年的股权清理完毕。山海关兴华市场门市房拆迁安置补偿合同纠纷，按照执行裁定，海晨地产应支付176万元，目前已支付40万元，该公司承诺今年年底将剩余未项全部偿还。</w:t>
      </w:r>
    </w:p>
    <w:p>
      <w:pPr>
        <w:keepNext w:val="0"/>
        <w:keepLines w:val="0"/>
        <w:pageBreakBefore w:val="0"/>
        <w:kinsoku/>
        <w:wordWrap/>
        <w:overflowPunct/>
        <w:topLinePunct w:val="0"/>
        <w:autoSpaceDE/>
        <w:autoSpaceDN/>
        <w:bidi w:val="0"/>
        <w:snapToGrid/>
        <w:spacing w:line="480" w:lineRule="exact"/>
        <w:ind w:firstLine="645"/>
        <w:textAlignment w:val="auto"/>
        <w:rPr>
          <w:rFonts w:hint="eastAsia" w:ascii="仿宋" w:hAnsi="仿宋" w:eastAsia="仿宋"/>
          <w:sz w:val="32"/>
          <w:szCs w:val="32"/>
        </w:rPr>
      </w:pPr>
      <w:r>
        <w:rPr>
          <w:rFonts w:hint="eastAsia" w:ascii="仿宋" w:hAnsi="仿宋" w:eastAsia="仿宋"/>
          <w:sz w:val="32"/>
          <w:szCs w:val="32"/>
        </w:rPr>
        <w:t>继续加强债权包清理，推进债权包中有效资产的处置回收工作。对债权包中梳理出确有回收可能性12家企业委托法律团队进行清收。目前2家企业有一定进展。野生动物园欠我公司两笔债权（本息合计1117.4万元），我公司提出对野生动物园变更申请执行人的申请，目前市中院已受理，就其偿还方式国资委已向政府进行了专题汇报。已向秦皇岛海港燃料总公司河东分公司发出律师函追缴债权，并已立案待审。目前该公司仍处于存续状态，因其归海港区国资办管辖，区国资办研究还款计划。</w:t>
      </w:r>
    </w:p>
    <w:p>
      <w:pPr>
        <w:keepNext w:val="0"/>
        <w:keepLines w:val="0"/>
        <w:pageBreakBefore w:val="0"/>
        <w:kinsoku/>
        <w:wordWrap/>
        <w:overflowPunct/>
        <w:topLinePunct w:val="0"/>
        <w:autoSpaceDE/>
        <w:autoSpaceDN/>
        <w:bidi w:val="0"/>
        <w:snapToGrid/>
        <w:spacing w:line="480" w:lineRule="exact"/>
        <w:ind w:firstLine="645"/>
        <w:textAlignment w:val="auto"/>
        <w:rPr>
          <w:rFonts w:hint="eastAsia" w:ascii="仿宋" w:hAnsi="仿宋" w:eastAsia="仿宋"/>
          <w:sz w:val="32"/>
          <w:szCs w:val="32"/>
        </w:rPr>
      </w:pPr>
      <w:r>
        <w:rPr>
          <w:rFonts w:hint="eastAsia" w:ascii="仿宋" w:hAnsi="仿宋" w:eastAsia="仿宋"/>
          <w:sz w:val="32"/>
          <w:szCs w:val="32"/>
          <w:lang w:val="zh-CN"/>
        </w:rPr>
        <w:t>健全</w:t>
      </w:r>
      <w:r>
        <w:rPr>
          <w:rFonts w:hint="eastAsia" w:ascii="仿宋" w:hAnsi="仿宋" w:eastAsia="仿宋"/>
          <w:sz w:val="32"/>
          <w:szCs w:val="32"/>
        </w:rPr>
        <w:t>国有资产评估管理和国有资产出租管理机制。一是规范租赁合同的签订和租金收取管理制度，为进一步加强国有资产出租管理，规范国有资产出租行为，优化资源配置，提高使用效益,完成原汽贸公司资产出租合同的签订。完成文化路商铺资产出租租金收取工作。二是为维护国有资产出资人合法权益，规范选聘资产评估机构行为，规范国有资产出租行为，先后制定《资产评估机构选聘管理制度》《国有资产出租的管理办法》，进一步优化资源配置，提高国有资产的使用效益。</w:t>
      </w:r>
    </w:p>
    <w:p>
      <w:pPr>
        <w:keepNext w:val="0"/>
        <w:keepLines w:val="0"/>
        <w:pageBreakBefore w:val="0"/>
        <w:kinsoku/>
        <w:wordWrap/>
        <w:overflowPunct/>
        <w:topLinePunct w:val="0"/>
        <w:autoSpaceDE/>
        <w:autoSpaceDN/>
        <w:bidi w:val="0"/>
        <w:snapToGrid/>
        <w:spacing w:line="480" w:lineRule="exact"/>
        <w:ind w:firstLine="645"/>
        <w:textAlignment w:val="auto"/>
        <w:rPr>
          <w:rFonts w:hint="eastAsia" w:ascii="仿宋" w:hAnsi="仿宋" w:eastAsia="仿宋"/>
          <w:sz w:val="32"/>
          <w:szCs w:val="32"/>
        </w:rPr>
      </w:pPr>
      <w:r>
        <w:rPr>
          <w:rFonts w:hint="eastAsia" w:ascii="仿宋" w:hAnsi="仿宋" w:eastAsia="仿宋"/>
          <w:sz w:val="32"/>
          <w:szCs w:val="32"/>
        </w:rPr>
        <w:t>继续推进耀华国投公司的注销清算工作。积极与耀华国投公司现登记股东进行接洽、协商耀华国投公司的注销清算事项。现国家国投资产管理公司、中国信达资产管理公司两家股东积极配合耀华国投公司注销清算工作。因耀华国投公司现登记股东之一河北省建投股权已划转给河北省信产投，按照省国资委指示意见，要求河北省建投配合完成耀华国投公司的注销清算工作，并完成河北省建投对接与协商。按照省建投要求，由市国资委出具《授权书》，授权省建投在耀华国投公司注销过程中行使股东权力，并由市国资委承担由此产生的法律后果。9月初，经与耀华国投公司现登记股东协商，确定清算组成员，已在国家企业信息公示系统完成注销登记公告（公告期45天）。</w:t>
      </w:r>
    </w:p>
    <w:p>
      <w:pPr>
        <w:keepNext w:val="0"/>
        <w:keepLines w:val="0"/>
        <w:pageBreakBefore w:val="0"/>
        <w:kinsoku/>
        <w:wordWrap/>
        <w:overflowPunct/>
        <w:topLinePunct w:val="0"/>
        <w:autoSpaceDE/>
        <w:autoSpaceDN/>
        <w:bidi w:val="0"/>
        <w:snapToGrid/>
        <w:spacing w:line="480" w:lineRule="exact"/>
        <w:ind w:firstLine="645"/>
        <w:textAlignment w:val="auto"/>
        <w:rPr>
          <w:rFonts w:hint="eastAsia" w:ascii="仿宋" w:hAnsi="仿宋" w:eastAsia="仿宋"/>
          <w:sz w:val="32"/>
          <w:szCs w:val="32"/>
        </w:rPr>
      </w:pPr>
      <w:r>
        <w:rPr>
          <w:rFonts w:hint="eastAsia" w:ascii="仿宋" w:hAnsi="仿宋" w:eastAsia="仿宋"/>
          <w:sz w:val="32"/>
          <w:szCs w:val="32"/>
        </w:rPr>
        <w:t>积极核查、依法</w:t>
      </w:r>
      <w:r>
        <w:rPr>
          <w:rFonts w:hint="eastAsia" w:ascii="仿宋" w:hAnsi="仿宋" w:eastAsia="仿宋"/>
          <w:sz w:val="32"/>
          <w:szCs w:val="32"/>
          <w:lang w:val="zh-CN"/>
        </w:rPr>
        <w:t>处置低效</w:t>
      </w:r>
      <w:r>
        <w:rPr>
          <w:rFonts w:hint="eastAsia" w:ascii="仿宋" w:hAnsi="仿宋" w:eastAsia="仿宋"/>
          <w:sz w:val="32"/>
          <w:szCs w:val="32"/>
        </w:rPr>
        <w:t>闲置资产</w:t>
      </w:r>
      <w:r>
        <w:rPr>
          <w:rFonts w:hint="eastAsia" w:ascii="仿宋" w:hAnsi="仿宋" w:eastAsia="仿宋"/>
          <w:sz w:val="32"/>
          <w:szCs w:val="32"/>
          <w:lang w:val="zh-CN"/>
        </w:rPr>
        <w:t>。</w:t>
      </w:r>
      <w:r>
        <w:rPr>
          <w:rFonts w:hint="eastAsia" w:ascii="仿宋" w:hAnsi="仿宋" w:eastAsia="仿宋"/>
          <w:sz w:val="32"/>
          <w:szCs w:val="32"/>
        </w:rPr>
        <w:t>研究制定资产处置具体意见：对于已在租赁期资产，由产权所属单位负责监督管理，租赁合同到期后，按国有资产管理相关规定进行处置；公司所属自用资产，由产权所属单位负责维护资产安全，确保国有资产保值增值。二是完成了海港区燕秀里37栋1-12号房产评估工作。该房产为我公司监管企业腈纶厂职工住房。接秦皇岛市海港区燕山小区征收办通知，我公司该处房产被纳入征收范围，目前，燕山小区征收办对该处房产评估完毕，待签订补偿协议后，经公司党委会议定，给予拆迁货币补偿。</w:t>
      </w:r>
    </w:p>
    <w:p>
      <w:pPr>
        <w:keepNext w:val="0"/>
        <w:keepLines w:val="0"/>
        <w:pageBreakBefore w:val="0"/>
        <w:kinsoku/>
        <w:wordWrap/>
        <w:overflowPunct/>
        <w:topLinePunct w:val="0"/>
        <w:autoSpaceDE/>
        <w:autoSpaceDN/>
        <w:bidi w:val="0"/>
        <w:snapToGrid/>
        <w:spacing w:line="480" w:lineRule="exact"/>
        <w:ind w:firstLine="645"/>
        <w:textAlignment w:val="auto"/>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不断加强改制企业后续管理及职工服务工作，把为民服务及廉政建设落到实处。</w:t>
      </w:r>
    </w:p>
    <w:p>
      <w:pPr>
        <w:keepNext w:val="0"/>
        <w:keepLines w:val="0"/>
        <w:pageBreakBefore w:val="0"/>
        <w:kinsoku/>
        <w:wordWrap/>
        <w:overflowPunct/>
        <w:topLinePunct w:val="0"/>
        <w:autoSpaceDE/>
        <w:autoSpaceDN/>
        <w:bidi w:val="0"/>
        <w:snapToGrid/>
        <w:spacing w:line="480" w:lineRule="exact"/>
        <w:ind w:firstLine="645"/>
        <w:textAlignment w:val="auto"/>
        <w:rPr>
          <w:rFonts w:hint="eastAsia" w:ascii="仿宋" w:hAnsi="仿宋" w:eastAsia="仿宋"/>
          <w:sz w:val="32"/>
          <w:szCs w:val="32"/>
        </w:rPr>
      </w:pPr>
      <w:r>
        <w:rPr>
          <w:rFonts w:hint="eastAsia" w:ascii="仿宋" w:hAnsi="仿宋" w:eastAsia="仿宋"/>
          <w:sz w:val="32"/>
          <w:szCs w:val="32"/>
        </w:rPr>
        <w:t>职工基础服务工作平稳有序运行。一是较好完成了涉及一万多名服务托管职工长期费用、保险费用、一孩化奖励资金费用的申请、缴纳、发放管理工作，完成老工伤入统至趸交费用期间拖欠的128人医药费发放，为746名工伤职工申请待遇报销，完成柳江煤矿560人的工伤查体，并协调劳动局做伤残鉴定。二是为82位离休干部发放长期费用和生活补贴28万元，累计走访慰问、探视住院及祝寿离休老干部162人次，总计发放慰问金6.93万元，为18位离休干部办理药费申请审批报销约38万元，完成2018-2021年度离休干部年终慰问金发放的审批工作。三是按市政府、市委老干部局、市国资委等上级部门部署上收了天津水运公司、河北天成化工公司等两家企业离休干部8名，并申请审发放药费及慰问金6.8万元，解决多年的历史遗留问题，确保老同志各项待遇全面落实。四是对省、市级劳模档案荣誉记载进行全面清查，做好基础统计与待遇落实相关工作。五是全面梳理企业档案，进一步提高档案的查找利用率。六是完成工会会员大病保险上缴，并积极组织募集治疗资金，救助身患重疾的公司职工家属。</w:t>
      </w:r>
    </w:p>
    <w:p>
      <w:pPr>
        <w:keepNext w:val="0"/>
        <w:keepLines w:val="0"/>
        <w:pageBreakBefore w:val="0"/>
        <w:kinsoku/>
        <w:wordWrap/>
        <w:overflowPunct/>
        <w:topLinePunct w:val="0"/>
        <w:autoSpaceDE/>
        <w:autoSpaceDN/>
        <w:bidi w:val="0"/>
        <w:snapToGrid/>
        <w:spacing w:line="480" w:lineRule="exact"/>
        <w:ind w:firstLine="645"/>
        <w:textAlignment w:val="auto"/>
        <w:rPr>
          <w:rFonts w:hint="eastAsia" w:ascii="仿宋" w:hAnsi="仿宋" w:eastAsia="仿宋"/>
          <w:sz w:val="32"/>
          <w:szCs w:val="32"/>
        </w:rPr>
      </w:pPr>
      <w:r>
        <w:rPr>
          <w:rFonts w:hint="eastAsia" w:ascii="仿宋" w:hAnsi="仿宋" w:eastAsia="仿宋"/>
          <w:sz w:val="32"/>
          <w:szCs w:val="32"/>
        </w:rPr>
        <w:t>倾力解决涉及职工群众切身利益的“急难”问题。一是完成奥格集团水电暖改造工作的申请，完成秦冶置业有限公司1842户供水改造工程及工程决算审计工作，完成啤酒厂职工房屋漏水资金申请。二是完成文耀里拆迁征收区未交房户的供电线路和电表改造，完成对秦皇岛市钢化玻璃厂家属区、山海关啤酒厂家属区、柳江煤矿家属区进行房屋维修资金申报工作，启动纤维里和先茂里部分栋楼的防水维修工作。三是市委书记朱政学包案的原塑料厂38户平房职工办理产权证有突破性进展，经与开发商多轮协商，同意为职工补交房改差额款约180万元，现已办理产权证20本，其余正在办理中。完成海政里小区职工办理确权手续900余本。为9家改制企业的52名职工办理公有住房房改房不动产登记。四是发放耀华拖欠职工取暖费、公积金、未付经济补偿金利息及职大都是补贴共计金额536.92万元，审核耀华职工房产档案232份,完成组卷98份。五是完成鑫泽冶金和恒业工贸事转企退休职工和遗属协调办理月待遇差、年终一次性生活补贴等各项待遇代办申请审核发放共计110万元。</w:t>
      </w:r>
    </w:p>
    <w:p>
      <w:pPr>
        <w:keepNext w:val="0"/>
        <w:keepLines w:val="0"/>
        <w:pageBreakBefore w:val="0"/>
        <w:kinsoku/>
        <w:wordWrap/>
        <w:overflowPunct/>
        <w:topLinePunct w:val="0"/>
        <w:autoSpaceDE/>
        <w:autoSpaceDN/>
        <w:bidi w:val="0"/>
        <w:snapToGrid/>
        <w:spacing w:line="480" w:lineRule="exact"/>
        <w:ind w:firstLine="645"/>
        <w:textAlignment w:val="auto"/>
        <w:rPr>
          <w:rFonts w:hint="eastAsia" w:ascii="仿宋" w:hAnsi="仿宋" w:eastAsia="仿宋"/>
          <w:sz w:val="32"/>
          <w:szCs w:val="32"/>
        </w:rPr>
      </w:pPr>
      <w:r>
        <w:rPr>
          <w:rFonts w:hint="eastAsia" w:ascii="仿宋" w:hAnsi="仿宋" w:eastAsia="仿宋"/>
          <w:sz w:val="32"/>
          <w:szCs w:val="32"/>
        </w:rPr>
        <w:t>加强所属企业留守处财务监管及人员管理，完善对所属改制企业留守处财务状况的监督制度。重点检查山海关留守处和柳江煤矿留守处的财务管理和会计核算情况，对其成立以来的收入、支出状况以及往来款项发生情况进行了梳理和审核，提出了分类核算、规范操作的指导要求，对核算中的会计科目使用、会计账簿设置提出了整改要求，对支出依据不足的项目提出了补附相关依据的要求。</w:t>
      </w:r>
    </w:p>
    <w:p>
      <w:pPr>
        <w:keepNext w:val="0"/>
        <w:keepLines w:val="0"/>
        <w:pageBreakBefore w:val="0"/>
        <w:kinsoku/>
        <w:wordWrap/>
        <w:overflowPunct/>
        <w:topLinePunct w:val="0"/>
        <w:autoSpaceDE/>
        <w:autoSpaceDN/>
        <w:bidi w:val="0"/>
        <w:snapToGrid/>
        <w:spacing w:line="480" w:lineRule="exact"/>
        <w:ind w:firstLine="645"/>
        <w:textAlignment w:val="auto"/>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加强信访稳定与安全生产工作，妥善处理企业改制遗留问题。</w:t>
      </w:r>
    </w:p>
    <w:p>
      <w:pPr>
        <w:keepNext w:val="0"/>
        <w:keepLines w:val="0"/>
        <w:pageBreakBefore w:val="0"/>
        <w:kinsoku/>
        <w:wordWrap/>
        <w:overflowPunct/>
        <w:topLinePunct w:val="0"/>
        <w:autoSpaceDE/>
        <w:autoSpaceDN/>
        <w:bidi w:val="0"/>
        <w:snapToGrid/>
        <w:spacing w:line="480" w:lineRule="exact"/>
        <w:ind w:firstLine="645"/>
        <w:textAlignment w:val="auto"/>
        <w:rPr>
          <w:rFonts w:hint="eastAsia" w:ascii="仿宋" w:hAnsi="仿宋" w:eastAsia="仿宋"/>
          <w:sz w:val="32"/>
          <w:szCs w:val="32"/>
        </w:rPr>
      </w:pPr>
      <w:r>
        <w:rPr>
          <w:rFonts w:hint="eastAsia" w:ascii="仿宋" w:hAnsi="仿宋" w:eastAsia="仿宋"/>
          <w:sz w:val="32"/>
          <w:szCs w:val="32"/>
        </w:rPr>
        <w:t>共接待群众来访、来信和网上投诉150件，其中来访20件，省网22件，12345市长热线108件，均做到及时答复和反馈，回复率达100%。第一批集中治理信访化解积案专项工作4件，11月开展第二批集中治理包联案件及重复方案件共计12件。</w:t>
      </w:r>
    </w:p>
    <w:p>
      <w:pPr>
        <w:keepNext w:val="0"/>
        <w:keepLines w:val="0"/>
        <w:pageBreakBefore w:val="0"/>
        <w:kinsoku/>
        <w:wordWrap/>
        <w:overflowPunct/>
        <w:topLinePunct w:val="0"/>
        <w:autoSpaceDE/>
        <w:autoSpaceDN/>
        <w:bidi w:val="0"/>
        <w:snapToGrid/>
        <w:spacing w:line="480" w:lineRule="exact"/>
        <w:ind w:firstLine="645"/>
        <w:textAlignment w:val="auto"/>
        <w:rPr>
          <w:rFonts w:hint="eastAsia" w:ascii="仿宋" w:hAnsi="仿宋" w:eastAsia="仿宋"/>
          <w:sz w:val="32"/>
          <w:szCs w:val="32"/>
        </w:rPr>
      </w:pPr>
      <w:r>
        <w:rPr>
          <w:rFonts w:hint="eastAsia" w:ascii="仿宋" w:hAnsi="仿宋" w:eastAsia="仿宋"/>
          <w:sz w:val="32"/>
          <w:szCs w:val="32"/>
        </w:rPr>
        <w:t>及时完成市国资委及上级主管单位要求的各项安全生产文件申报及反馈工作、建立安全生产责任制度及各项应急措方案，对照安全生产目标管理责任书，严格落实安全生产党政同责，一岗双责的规定，将安全生产工作纳入到年度工作计划，成立24小时值班制度，严格落实企业主要领导第一责任人责任，严格落实《突发事件信息接报流程》程序。全面落实安全生产专项整治三年行动。全年组织消防应急演练1次，排查安全隐患28次，发现安全隐患5处，消除隐患5处。加强对所属企业留守处、社区居民楼的排查，加强育红里、桥东北里、柳江煤矿矿直等主要区域安全生产巡查工作。对育红里俱乐部屋顶周围加装普锈钢网，制定屋顶维修施工方案，完成公开招标。为桥东北里三栋单身宿舍楼配备52组灭火器。与市住建局对接，对育红里俱乐部、桥东北里单身宿舍楼、耀中里单身楼、秦皇岛造船厂宿舍楼及奥莱特腈纶单身楼进行细致摸排、测绘勘察，汇总材料已上报市国资委。</w:t>
      </w:r>
    </w:p>
    <w:p>
      <w:pPr>
        <w:keepNext w:val="0"/>
        <w:keepLines w:val="0"/>
        <w:pageBreakBefore w:val="0"/>
        <w:kinsoku/>
        <w:wordWrap/>
        <w:overflowPunct/>
        <w:topLinePunct w:val="0"/>
        <w:autoSpaceDE/>
        <w:autoSpaceDN/>
        <w:bidi w:val="0"/>
        <w:snapToGrid/>
        <w:spacing w:line="480" w:lineRule="exact"/>
        <w:ind w:firstLine="645"/>
        <w:textAlignment w:val="auto"/>
        <w:rPr>
          <w:rFonts w:hint="eastAsia" w:ascii="仿宋" w:hAnsi="仿宋" w:eastAsia="仿宋"/>
          <w:sz w:val="32"/>
          <w:szCs w:val="32"/>
        </w:rPr>
      </w:pPr>
      <w:r>
        <w:rPr>
          <w:rFonts w:hint="eastAsia" w:ascii="仿宋" w:hAnsi="仿宋" w:eastAsia="仿宋"/>
          <w:sz w:val="32"/>
          <w:szCs w:val="32"/>
        </w:rPr>
        <w:t>认真统筹安排，做好防疫日常工作。按照上级部门疫情防控工作重要指示精神，强化统筹协调，组织开展全面摸排，不留死角，组织全体员工核酸检测与新冠疫苗接种，建立核酸检测人员每周信息台账，并通过公司工作群等网络宣传方式，加强疫情防控宣传教育。</w:t>
      </w:r>
    </w:p>
    <w:p>
      <w:pPr>
        <w:keepNext w:val="0"/>
        <w:keepLines w:val="0"/>
        <w:pageBreakBefore w:val="0"/>
        <w:kinsoku/>
        <w:wordWrap/>
        <w:overflowPunct/>
        <w:topLinePunct w:val="0"/>
        <w:autoSpaceDE/>
        <w:autoSpaceDN/>
        <w:bidi w:val="0"/>
        <w:snapToGrid/>
        <w:spacing w:line="480" w:lineRule="exact"/>
        <w:ind w:firstLine="645"/>
        <w:textAlignment w:val="auto"/>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完善各项管理机制，提升制度执行力和约束力。</w:t>
      </w:r>
    </w:p>
    <w:p>
      <w:pPr>
        <w:keepNext w:val="0"/>
        <w:keepLines w:val="0"/>
        <w:pageBreakBefore w:val="0"/>
        <w:kinsoku/>
        <w:wordWrap/>
        <w:overflowPunct/>
        <w:topLinePunct w:val="0"/>
        <w:autoSpaceDE/>
        <w:autoSpaceDN/>
        <w:bidi w:val="0"/>
        <w:snapToGrid/>
        <w:spacing w:line="480" w:lineRule="exact"/>
        <w:ind w:firstLine="645"/>
        <w:textAlignment w:val="auto"/>
        <w:rPr>
          <w:rFonts w:hint="eastAsia" w:ascii="仿宋" w:hAnsi="仿宋" w:eastAsia="仿宋"/>
          <w:sz w:val="32"/>
          <w:szCs w:val="32"/>
        </w:rPr>
      </w:pPr>
      <w:r>
        <w:rPr>
          <w:rFonts w:hint="eastAsia" w:ascii="仿宋" w:hAnsi="仿宋" w:eastAsia="仿宋"/>
          <w:sz w:val="32"/>
          <w:szCs w:val="32"/>
        </w:rPr>
        <w:t>加强各项管理制度规范化。一是根据市国资委工作部署，修订完善公司章程，修订市工业公司考勤管理制度，印发公司全体实施。二是为使离休干部管理工作进一步制度化、规范化，完善生存认证制度、规范档案查阅制度及巩固联访月报制度。</w:t>
      </w:r>
    </w:p>
    <w:p>
      <w:pPr>
        <w:keepNext w:val="0"/>
        <w:keepLines w:val="0"/>
        <w:pageBreakBefore w:val="0"/>
        <w:numPr>
          <w:ilvl w:val="0"/>
          <w:numId w:val="3"/>
        </w:numPr>
        <w:kinsoku/>
        <w:wordWrap/>
        <w:overflowPunct/>
        <w:topLinePunct w:val="0"/>
        <w:autoSpaceDE/>
        <w:autoSpaceDN/>
        <w:bidi w:val="0"/>
        <w:snapToGrid/>
        <w:spacing w:line="480" w:lineRule="exact"/>
        <w:ind w:firstLine="640" w:firstLineChars="200"/>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val="en-US" w:eastAsia="zh-CN"/>
        </w:rPr>
        <w:t>财务状况</w:t>
      </w:r>
    </w:p>
    <w:p>
      <w:pPr>
        <w:keepNext w:val="0"/>
        <w:keepLines w:val="0"/>
        <w:pageBreakBefore w:val="0"/>
        <w:kinsoku/>
        <w:wordWrap/>
        <w:overflowPunct/>
        <w:topLinePunct w:val="0"/>
        <w:autoSpaceDE/>
        <w:autoSpaceDN/>
        <w:bidi w:val="0"/>
        <w:snapToGrid/>
        <w:spacing w:line="480" w:lineRule="exact"/>
        <w:ind w:firstLine="645"/>
        <w:textAlignment w:val="auto"/>
        <w:rPr>
          <w:rFonts w:hint="eastAsia" w:ascii="仿宋" w:hAnsi="仿宋" w:eastAsia="仿宋"/>
          <w:sz w:val="32"/>
          <w:szCs w:val="32"/>
        </w:rPr>
      </w:pPr>
      <w:r>
        <w:rPr>
          <w:rFonts w:hint="eastAsia" w:ascii="仿宋" w:hAnsi="仿宋" w:eastAsia="仿宋"/>
          <w:sz w:val="32"/>
          <w:szCs w:val="32"/>
        </w:rPr>
        <w:t xml:space="preserve">2021年底公司资产总量1.85亿元，负债总量0.74亿元，净资产1.11亿元，资产负债率40%，负债率比年初下降12个百分比。较年初，公司资产总量减少0.4亿元，减少17.78 %，负债总量减少0.44，减少37.2%；净资产净增加0.04，增幅3.74%。 </w:t>
      </w:r>
    </w:p>
    <w:p>
      <w:pPr>
        <w:keepNext w:val="0"/>
        <w:keepLines w:val="0"/>
        <w:pageBreakBefore w:val="0"/>
        <w:kinsoku/>
        <w:wordWrap/>
        <w:overflowPunct/>
        <w:topLinePunct w:val="0"/>
        <w:autoSpaceDE/>
        <w:autoSpaceDN/>
        <w:bidi w:val="0"/>
        <w:snapToGrid/>
        <w:spacing w:line="48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四</w:t>
      </w:r>
      <w:r>
        <w:rPr>
          <w:rFonts w:hint="eastAsia" w:ascii="黑体" w:hAnsi="黑体" w:eastAsia="黑体"/>
          <w:sz w:val="32"/>
          <w:szCs w:val="32"/>
        </w:rPr>
        <w:t>、薪酬</w:t>
      </w:r>
      <w:r>
        <w:rPr>
          <w:rFonts w:hint="eastAsia" w:ascii="黑体" w:hAnsi="黑体" w:eastAsia="黑体"/>
          <w:sz w:val="32"/>
          <w:szCs w:val="32"/>
          <w:lang w:val="en-US" w:eastAsia="zh-CN"/>
        </w:rPr>
        <w:t>待遇</w:t>
      </w:r>
    </w:p>
    <w:p>
      <w:pPr>
        <w:keepNext w:val="0"/>
        <w:keepLines w:val="0"/>
        <w:pageBreakBefore w:val="0"/>
        <w:kinsoku/>
        <w:wordWrap/>
        <w:overflowPunct/>
        <w:topLinePunct w:val="0"/>
        <w:autoSpaceDE/>
        <w:autoSpaceDN/>
        <w:bidi w:val="0"/>
        <w:snapToGrid/>
        <w:spacing w:line="480" w:lineRule="exact"/>
        <w:ind w:firstLine="640" w:firstLineChars="200"/>
        <w:textAlignment w:val="auto"/>
        <w:rPr>
          <w:rStyle w:val="11"/>
          <w:rFonts w:hint="eastAsia" w:ascii="仿宋" w:hAnsi="仿宋" w:eastAsia="仿宋" w:cs="仿宋"/>
          <w:b w:val="0"/>
          <w:bCs w:val="0"/>
          <w:sz w:val="32"/>
          <w:szCs w:val="32"/>
        </w:rPr>
      </w:pPr>
      <w:r>
        <w:rPr>
          <w:rStyle w:val="11"/>
          <w:rFonts w:hint="eastAsia" w:ascii="仿宋" w:hAnsi="仿宋" w:eastAsia="仿宋" w:cs="仿宋"/>
          <w:b w:val="0"/>
          <w:bCs w:val="0"/>
          <w:sz w:val="32"/>
          <w:szCs w:val="32"/>
        </w:rPr>
        <w:t>企业负责人</w:t>
      </w:r>
      <w:r>
        <w:rPr>
          <w:rStyle w:val="11"/>
          <w:rFonts w:hint="eastAsia" w:ascii="仿宋" w:hAnsi="仿宋" w:eastAsia="仿宋" w:cs="仿宋"/>
          <w:b w:val="0"/>
          <w:bCs w:val="0"/>
          <w:sz w:val="32"/>
          <w:szCs w:val="32"/>
          <w:lang w:val="en-US" w:eastAsia="zh-CN"/>
        </w:rPr>
        <w:t>2021年</w:t>
      </w:r>
      <w:r>
        <w:rPr>
          <w:rStyle w:val="11"/>
          <w:rFonts w:hint="eastAsia" w:ascii="仿宋" w:hAnsi="仿宋" w:eastAsia="仿宋" w:cs="仿宋"/>
          <w:b w:val="0"/>
          <w:bCs w:val="0"/>
          <w:sz w:val="32"/>
          <w:szCs w:val="32"/>
        </w:rPr>
        <w:t>薪酬</w:t>
      </w:r>
      <w:r>
        <w:rPr>
          <w:rStyle w:val="11"/>
          <w:rFonts w:hint="eastAsia" w:ascii="仿宋" w:hAnsi="仿宋" w:eastAsia="仿宋" w:cs="仿宋"/>
          <w:b w:val="0"/>
          <w:bCs w:val="0"/>
          <w:sz w:val="32"/>
          <w:szCs w:val="32"/>
          <w:lang w:val="en-US" w:eastAsia="zh-CN"/>
        </w:rPr>
        <w:t>总额</w:t>
      </w:r>
      <w:r>
        <w:rPr>
          <w:rStyle w:val="11"/>
          <w:rFonts w:hint="eastAsia" w:ascii="仿宋" w:hAnsi="仿宋" w:eastAsia="仿宋" w:cs="仿宋"/>
          <w:b w:val="0"/>
          <w:bCs w:val="0"/>
          <w:sz w:val="32"/>
          <w:szCs w:val="32"/>
        </w:rPr>
        <w:t>。</w:t>
      </w:r>
    </w:p>
    <w:p>
      <w:pPr>
        <w:keepNext w:val="0"/>
        <w:keepLines w:val="0"/>
        <w:pageBreakBefore w:val="0"/>
        <w:kinsoku/>
        <w:wordWrap/>
        <w:overflowPunct/>
        <w:topLinePunct w:val="0"/>
        <w:autoSpaceDE/>
        <w:autoSpaceDN/>
        <w:bidi w:val="0"/>
        <w:snapToGrid/>
        <w:spacing w:line="480" w:lineRule="exact"/>
        <w:ind w:firstLine="6432" w:firstLineChars="2010"/>
        <w:textAlignment w:val="auto"/>
        <w:rPr>
          <w:rStyle w:val="11"/>
          <w:rFonts w:hint="eastAsia" w:ascii="仿宋" w:hAnsi="仿宋" w:eastAsia="仿宋" w:cs="仿宋"/>
          <w:b w:val="0"/>
          <w:bCs w:val="0"/>
          <w:sz w:val="32"/>
          <w:szCs w:val="32"/>
        </w:rPr>
      </w:pPr>
      <w:r>
        <w:rPr>
          <w:rStyle w:val="11"/>
          <w:rFonts w:hint="eastAsia" w:ascii="仿宋" w:hAnsi="仿宋" w:eastAsia="仿宋" w:cs="仿宋"/>
          <w:b w:val="0"/>
          <w:bCs w:val="0"/>
          <w:sz w:val="32"/>
          <w:szCs w:val="32"/>
        </w:rPr>
        <w:t>单位（万元）</w:t>
      </w:r>
    </w:p>
    <w:tbl>
      <w:tblPr>
        <w:tblStyle w:val="6"/>
        <w:tblW w:w="8584" w:type="dxa"/>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3264"/>
        <w:gridCol w:w="2050"/>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keepNext w:val="0"/>
              <w:keepLines w:val="0"/>
              <w:pageBreakBefore w:val="0"/>
              <w:kinsoku/>
              <w:wordWrap/>
              <w:overflowPunct/>
              <w:topLinePunct w:val="0"/>
              <w:autoSpaceDE/>
              <w:autoSpaceDN/>
              <w:bidi w:val="0"/>
              <w:snapToGrid/>
              <w:spacing w:line="480" w:lineRule="exact"/>
              <w:jc w:val="center"/>
              <w:textAlignment w:val="auto"/>
              <w:rPr>
                <w:rStyle w:val="11"/>
                <w:rFonts w:ascii="仿宋_GB2312" w:hAnsi="仿宋_GB2312" w:eastAsia="仿宋_GB2312" w:cs="仿宋_GB2312"/>
                <w:bCs/>
                <w:kern w:val="0"/>
                <w:sz w:val="32"/>
                <w:szCs w:val="32"/>
              </w:rPr>
            </w:pPr>
            <w:r>
              <w:rPr>
                <w:rStyle w:val="11"/>
                <w:rFonts w:hint="eastAsia" w:ascii="仿宋_GB2312" w:hAnsi="仿宋_GB2312" w:eastAsia="仿宋_GB2312" w:cs="仿宋_GB2312"/>
                <w:bCs/>
                <w:kern w:val="0"/>
                <w:sz w:val="32"/>
                <w:szCs w:val="32"/>
              </w:rPr>
              <w:t>姓名</w:t>
            </w:r>
          </w:p>
        </w:tc>
        <w:tc>
          <w:tcPr>
            <w:tcW w:w="3264" w:type="dxa"/>
          </w:tcPr>
          <w:p>
            <w:pPr>
              <w:keepNext w:val="0"/>
              <w:keepLines w:val="0"/>
              <w:pageBreakBefore w:val="0"/>
              <w:kinsoku/>
              <w:wordWrap/>
              <w:overflowPunct/>
              <w:topLinePunct w:val="0"/>
              <w:autoSpaceDE/>
              <w:autoSpaceDN/>
              <w:bidi w:val="0"/>
              <w:snapToGrid/>
              <w:spacing w:line="480" w:lineRule="exact"/>
              <w:jc w:val="center"/>
              <w:textAlignment w:val="auto"/>
              <w:rPr>
                <w:rStyle w:val="11"/>
                <w:rFonts w:hint="default" w:ascii="仿宋_GB2312" w:hAnsi="仿宋_GB2312" w:eastAsia="仿宋_GB2312" w:cs="仿宋_GB2312"/>
                <w:bCs/>
                <w:kern w:val="0"/>
                <w:sz w:val="32"/>
                <w:szCs w:val="32"/>
                <w:lang w:val="en-US" w:eastAsia="zh-CN"/>
              </w:rPr>
            </w:pPr>
            <w:r>
              <w:rPr>
                <w:rStyle w:val="11"/>
                <w:rFonts w:hint="eastAsia" w:ascii="仿宋_GB2312" w:hAnsi="仿宋_GB2312" w:eastAsia="仿宋_GB2312" w:cs="仿宋_GB2312"/>
                <w:bCs/>
                <w:kern w:val="0"/>
                <w:sz w:val="32"/>
                <w:szCs w:val="32"/>
                <w:lang w:val="en-US" w:eastAsia="zh-CN"/>
              </w:rPr>
              <w:t>职务</w:t>
            </w:r>
          </w:p>
        </w:tc>
        <w:tc>
          <w:tcPr>
            <w:tcW w:w="2050" w:type="dxa"/>
          </w:tcPr>
          <w:p>
            <w:pPr>
              <w:keepNext w:val="0"/>
              <w:keepLines w:val="0"/>
              <w:pageBreakBefore w:val="0"/>
              <w:kinsoku/>
              <w:wordWrap/>
              <w:overflowPunct/>
              <w:topLinePunct w:val="0"/>
              <w:autoSpaceDE/>
              <w:autoSpaceDN/>
              <w:bidi w:val="0"/>
              <w:snapToGrid/>
              <w:spacing w:line="480" w:lineRule="exact"/>
              <w:jc w:val="center"/>
              <w:textAlignment w:val="auto"/>
              <w:rPr>
                <w:rStyle w:val="11"/>
                <w:rFonts w:hint="default" w:ascii="仿宋_GB2312" w:hAnsi="仿宋_GB2312" w:eastAsia="仿宋_GB2312" w:cs="仿宋_GB2312"/>
                <w:bCs/>
                <w:kern w:val="0"/>
                <w:sz w:val="32"/>
                <w:szCs w:val="32"/>
                <w:lang w:val="en-US" w:eastAsia="zh-CN"/>
              </w:rPr>
            </w:pPr>
            <w:r>
              <w:rPr>
                <w:rStyle w:val="11"/>
                <w:rFonts w:hint="eastAsia" w:ascii="仿宋_GB2312" w:hAnsi="仿宋_GB2312" w:eastAsia="仿宋_GB2312" w:cs="仿宋_GB2312"/>
                <w:bCs/>
                <w:kern w:val="0"/>
                <w:sz w:val="32"/>
                <w:szCs w:val="32"/>
                <w:lang w:val="en-US" w:eastAsia="zh-CN"/>
              </w:rPr>
              <w:t>任职时间</w:t>
            </w:r>
          </w:p>
        </w:tc>
        <w:tc>
          <w:tcPr>
            <w:tcW w:w="2015" w:type="dxa"/>
          </w:tcPr>
          <w:p>
            <w:pPr>
              <w:keepNext w:val="0"/>
              <w:keepLines w:val="0"/>
              <w:pageBreakBefore w:val="0"/>
              <w:kinsoku/>
              <w:wordWrap/>
              <w:overflowPunct/>
              <w:topLinePunct w:val="0"/>
              <w:autoSpaceDE/>
              <w:autoSpaceDN/>
              <w:bidi w:val="0"/>
              <w:snapToGrid/>
              <w:spacing w:line="480" w:lineRule="exact"/>
              <w:jc w:val="center"/>
              <w:textAlignment w:val="auto"/>
              <w:rPr>
                <w:rStyle w:val="11"/>
                <w:rFonts w:ascii="仿宋_GB2312" w:hAnsi="仿宋_GB2312" w:eastAsia="仿宋_GB2312" w:cs="仿宋_GB2312"/>
                <w:bCs/>
                <w:kern w:val="0"/>
                <w:sz w:val="32"/>
                <w:szCs w:val="32"/>
              </w:rPr>
            </w:pPr>
            <w:r>
              <w:rPr>
                <w:rStyle w:val="11"/>
                <w:rFonts w:hint="eastAsia" w:ascii="仿宋_GB2312" w:hAnsi="仿宋_GB2312" w:eastAsia="仿宋_GB2312" w:cs="仿宋_GB2312"/>
                <w:bCs/>
                <w:kern w:val="0"/>
                <w:sz w:val="32"/>
                <w:szCs w:val="32"/>
              </w:rPr>
              <w:t>202</w:t>
            </w:r>
            <w:r>
              <w:rPr>
                <w:rStyle w:val="11"/>
                <w:rFonts w:hint="eastAsia" w:ascii="仿宋_GB2312" w:hAnsi="仿宋_GB2312" w:eastAsia="仿宋_GB2312" w:cs="仿宋_GB2312"/>
                <w:bCs/>
                <w:kern w:val="0"/>
                <w:sz w:val="32"/>
                <w:szCs w:val="32"/>
                <w:lang w:val="en-US" w:eastAsia="zh-CN"/>
              </w:rPr>
              <w:t>1</w:t>
            </w:r>
            <w:r>
              <w:rPr>
                <w:rStyle w:val="11"/>
                <w:rFonts w:hint="eastAsia" w:ascii="仿宋_GB2312" w:hAnsi="仿宋_GB2312" w:eastAsia="仿宋_GB2312" w:cs="仿宋_GB2312"/>
                <w:bCs/>
                <w:kern w:val="0"/>
                <w:sz w:val="32"/>
                <w:szCs w:val="3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keepNext w:val="0"/>
              <w:keepLines w:val="0"/>
              <w:pageBreakBefore w:val="0"/>
              <w:kinsoku/>
              <w:wordWrap/>
              <w:overflowPunct/>
              <w:topLinePunct w:val="0"/>
              <w:autoSpaceDE/>
              <w:autoSpaceDN/>
              <w:bidi w:val="0"/>
              <w:snapToGrid/>
              <w:spacing w:line="480" w:lineRule="exact"/>
              <w:jc w:val="center"/>
              <w:textAlignment w:val="auto"/>
              <w:rPr>
                <w:rStyle w:val="11"/>
                <w:rFonts w:ascii="仿宋_GB2312" w:hAnsi="仿宋_GB2312" w:eastAsia="仿宋_GB2312" w:cs="仿宋_GB2312"/>
                <w:bCs/>
                <w:kern w:val="0"/>
                <w:sz w:val="32"/>
                <w:szCs w:val="32"/>
              </w:rPr>
            </w:pPr>
            <w:r>
              <w:rPr>
                <w:rStyle w:val="11"/>
                <w:rFonts w:hint="eastAsia" w:ascii="仿宋_GB2312" w:hAnsi="仿宋_GB2312" w:eastAsia="仿宋_GB2312" w:cs="仿宋_GB2312"/>
                <w:bCs/>
                <w:kern w:val="0"/>
                <w:sz w:val="32"/>
                <w:szCs w:val="32"/>
              </w:rPr>
              <w:t>王宝宏</w:t>
            </w:r>
          </w:p>
        </w:tc>
        <w:tc>
          <w:tcPr>
            <w:tcW w:w="3264" w:type="dxa"/>
          </w:tcPr>
          <w:p>
            <w:pPr>
              <w:keepNext w:val="0"/>
              <w:keepLines w:val="0"/>
              <w:pageBreakBefore w:val="0"/>
              <w:kinsoku/>
              <w:wordWrap/>
              <w:overflowPunct/>
              <w:topLinePunct w:val="0"/>
              <w:autoSpaceDE/>
              <w:autoSpaceDN/>
              <w:bidi w:val="0"/>
              <w:snapToGrid/>
              <w:spacing w:line="480" w:lineRule="exact"/>
              <w:jc w:val="center"/>
              <w:textAlignment w:val="auto"/>
              <w:rPr>
                <w:rStyle w:val="11"/>
                <w:rFonts w:hint="default" w:ascii="仿宋_GB2312" w:hAnsi="仿宋_GB2312" w:eastAsia="仿宋_GB2312" w:cs="仿宋_GB2312"/>
                <w:bCs/>
                <w:kern w:val="0"/>
                <w:sz w:val="32"/>
                <w:szCs w:val="32"/>
                <w:lang w:val="en-US" w:eastAsia="zh-CN"/>
              </w:rPr>
            </w:pPr>
            <w:r>
              <w:rPr>
                <w:rStyle w:val="11"/>
                <w:rFonts w:hint="eastAsia" w:ascii="仿宋_GB2312" w:hAnsi="仿宋_GB2312" w:eastAsia="仿宋_GB2312" w:cs="仿宋_GB2312"/>
                <w:bCs/>
                <w:kern w:val="0"/>
                <w:sz w:val="32"/>
                <w:szCs w:val="32"/>
                <w:lang w:val="en-US" w:eastAsia="zh-CN"/>
              </w:rPr>
              <w:t>党委书记、董事长</w:t>
            </w:r>
          </w:p>
        </w:tc>
        <w:tc>
          <w:tcPr>
            <w:tcW w:w="2050" w:type="dxa"/>
          </w:tcPr>
          <w:p>
            <w:pPr>
              <w:keepNext w:val="0"/>
              <w:keepLines w:val="0"/>
              <w:pageBreakBefore w:val="0"/>
              <w:kinsoku/>
              <w:wordWrap/>
              <w:overflowPunct/>
              <w:topLinePunct w:val="0"/>
              <w:autoSpaceDE/>
              <w:autoSpaceDN/>
              <w:bidi w:val="0"/>
              <w:snapToGrid/>
              <w:spacing w:line="480" w:lineRule="exact"/>
              <w:jc w:val="center"/>
              <w:textAlignment w:val="auto"/>
              <w:rPr>
                <w:rStyle w:val="11"/>
                <w:rFonts w:hint="default" w:ascii="仿宋_GB2312" w:hAnsi="仿宋_GB2312" w:eastAsia="仿宋_GB2312" w:cs="仿宋_GB2312"/>
                <w:bCs/>
                <w:kern w:val="0"/>
                <w:sz w:val="32"/>
                <w:szCs w:val="32"/>
                <w:lang w:val="en-US" w:eastAsia="zh-CN"/>
              </w:rPr>
            </w:pPr>
            <w:r>
              <w:rPr>
                <w:rStyle w:val="11"/>
                <w:rFonts w:hint="eastAsia" w:ascii="仿宋_GB2312" w:hAnsi="仿宋_GB2312" w:eastAsia="仿宋_GB2312" w:cs="仿宋_GB2312"/>
                <w:bCs/>
                <w:kern w:val="0"/>
                <w:sz w:val="32"/>
                <w:szCs w:val="32"/>
                <w:lang w:val="en-US" w:eastAsia="zh-CN"/>
              </w:rPr>
              <w:t>2018.01</w:t>
            </w:r>
          </w:p>
        </w:tc>
        <w:tc>
          <w:tcPr>
            <w:tcW w:w="2015" w:type="dxa"/>
            <w:vAlign w:val="center"/>
          </w:tcPr>
          <w:p>
            <w:pPr>
              <w:keepNext w:val="0"/>
              <w:keepLines w:val="0"/>
              <w:widowControl/>
              <w:suppressLineNumbers w:val="0"/>
              <w:jc w:val="center"/>
              <w:textAlignment w:val="center"/>
              <w:rPr>
                <w:rStyle w:val="11"/>
                <w:rFonts w:hint="default" w:ascii="仿宋_GB2312" w:hAnsi="仿宋_GB2312" w:eastAsia="仿宋_GB2312" w:cs="仿宋_GB2312"/>
                <w:bCs/>
                <w:kern w:val="0"/>
                <w:sz w:val="32"/>
                <w:szCs w:val="32"/>
                <w:lang w:val="en-US" w:eastAsia="zh-CN"/>
              </w:rPr>
            </w:pPr>
            <w:r>
              <w:rPr>
                <w:rFonts w:hint="eastAsia" w:ascii="宋体" w:hAnsi="宋体" w:eastAsia="宋体" w:cs="宋体"/>
                <w:i w:val="0"/>
                <w:iCs w:val="0"/>
                <w:color w:val="000000"/>
                <w:kern w:val="0"/>
                <w:sz w:val="24"/>
                <w:szCs w:val="24"/>
                <w:u w:val="none"/>
                <w:lang w:val="en-US" w:eastAsia="zh-CN" w:bidi="ar"/>
              </w:rPr>
              <w:t>15.37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keepNext w:val="0"/>
              <w:keepLines w:val="0"/>
              <w:pageBreakBefore w:val="0"/>
              <w:kinsoku/>
              <w:wordWrap/>
              <w:overflowPunct/>
              <w:topLinePunct w:val="0"/>
              <w:autoSpaceDE/>
              <w:autoSpaceDN/>
              <w:bidi w:val="0"/>
              <w:snapToGrid/>
              <w:spacing w:line="480" w:lineRule="exact"/>
              <w:jc w:val="center"/>
              <w:textAlignment w:val="auto"/>
              <w:rPr>
                <w:rStyle w:val="11"/>
                <w:rFonts w:ascii="仿宋_GB2312" w:hAnsi="仿宋_GB2312" w:eastAsia="仿宋_GB2312" w:cs="仿宋_GB2312"/>
                <w:bCs/>
                <w:kern w:val="0"/>
                <w:sz w:val="32"/>
                <w:szCs w:val="32"/>
              </w:rPr>
            </w:pPr>
            <w:r>
              <w:rPr>
                <w:rStyle w:val="11"/>
                <w:rFonts w:hint="eastAsia" w:ascii="仿宋_GB2312" w:hAnsi="仿宋_GB2312" w:eastAsia="仿宋_GB2312" w:cs="仿宋_GB2312"/>
                <w:bCs/>
                <w:kern w:val="0"/>
                <w:sz w:val="32"/>
                <w:szCs w:val="32"/>
              </w:rPr>
              <w:t>刘彦君</w:t>
            </w:r>
          </w:p>
        </w:tc>
        <w:tc>
          <w:tcPr>
            <w:tcW w:w="3264" w:type="dxa"/>
          </w:tcPr>
          <w:p>
            <w:pPr>
              <w:keepNext w:val="0"/>
              <w:keepLines w:val="0"/>
              <w:pageBreakBefore w:val="0"/>
              <w:kinsoku/>
              <w:wordWrap/>
              <w:overflowPunct/>
              <w:topLinePunct w:val="0"/>
              <w:autoSpaceDE/>
              <w:autoSpaceDN/>
              <w:bidi w:val="0"/>
              <w:snapToGrid/>
              <w:spacing w:line="480" w:lineRule="exact"/>
              <w:jc w:val="center"/>
              <w:textAlignment w:val="auto"/>
              <w:rPr>
                <w:rStyle w:val="11"/>
                <w:rFonts w:hint="default" w:ascii="仿宋_GB2312" w:hAnsi="仿宋_GB2312" w:eastAsia="仿宋_GB2312" w:cs="仿宋_GB2312"/>
                <w:bCs/>
                <w:kern w:val="0"/>
                <w:sz w:val="32"/>
                <w:szCs w:val="32"/>
                <w:lang w:val="en-US" w:eastAsia="zh-CN"/>
              </w:rPr>
            </w:pPr>
            <w:r>
              <w:rPr>
                <w:rStyle w:val="11"/>
                <w:rFonts w:hint="eastAsia" w:ascii="仿宋_GB2312" w:hAnsi="仿宋_GB2312" w:eastAsia="仿宋_GB2312" w:cs="仿宋_GB2312"/>
                <w:bCs/>
                <w:kern w:val="0"/>
                <w:sz w:val="32"/>
                <w:szCs w:val="32"/>
                <w:lang w:val="en-US" w:eastAsia="zh-CN"/>
              </w:rPr>
              <w:t>党委副书记、总经理</w:t>
            </w:r>
          </w:p>
        </w:tc>
        <w:tc>
          <w:tcPr>
            <w:tcW w:w="2050" w:type="dxa"/>
          </w:tcPr>
          <w:p>
            <w:pPr>
              <w:keepNext w:val="0"/>
              <w:keepLines w:val="0"/>
              <w:pageBreakBefore w:val="0"/>
              <w:kinsoku/>
              <w:wordWrap/>
              <w:overflowPunct/>
              <w:topLinePunct w:val="0"/>
              <w:autoSpaceDE/>
              <w:autoSpaceDN/>
              <w:bidi w:val="0"/>
              <w:snapToGrid/>
              <w:spacing w:line="480" w:lineRule="exact"/>
              <w:jc w:val="center"/>
              <w:textAlignment w:val="auto"/>
              <w:rPr>
                <w:rStyle w:val="11"/>
                <w:rFonts w:hint="default" w:ascii="仿宋_GB2312" w:hAnsi="仿宋_GB2312" w:eastAsia="仿宋_GB2312" w:cs="仿宋_GB2312"/>
                <w:bCs/>
                <w:kern w:val="0"/>
                <w:sz w:val="32"/>
                <w:szCs w:val="32"/>
                <w:lang w:val="en-US" w:eastAsia="zh-CN"/>
              </w:rPr>
            </w:pPr>
            <w:r>
              <w:rPr>
                <w:rStyle w:val="11"/>
                <w:rFonts w:hint="eastAsia" w:ascii="仿宋_GB2312" w:hAnsi="仿宋_GB2312" w:eastAsia="仿宋_GB2312" w:cs="仿宋_GB2312"/>
                <w:bCs/>
                <w:kern w:val="0"/>
                <w:sz w:val="32"/>
                <w:szCs w:val="32"/>
                <w:lang w:val="en-US" w:eastAsia="zh-CN"/>
              </w:rPr>
              <w:t>2017.03</w:t>
            </w:r>
          </w:p>
        </w:tc>
        <w:tc>
          <w:tcPr>
            <w:tcW w:w="2015" w:type="dxa"/>
            <w:vAlign w:val="center"/>
          </w:tcPr>
          <w:p>
            <w:pPr>
              <w:keepNext w:val="0"/>
              <w:keepLines w:val="0"/>
              <w:widowControl/>
              <w:suppressLineNumbers w:val="0"/>
              <w:jc w:val="center"/>
              <w:textAlignment w:val="center"/>
              <w:rPr>
                <w:rStyle w:val="11"/>
                <w:rFonts w:hint="default" w:ascii="仿宋_GB2312" w:hAnsi="仿宋_GB2312" w:eastAsia="仿宋_GB2312" w:cs="仿宋_GB2312"/>
                <w:bCs/>
                <w:kern w:val="0"/>
                <w:sz w:val="32"/>
                <w:szCs w:val="32"/>
                <w:lang w:val="en-US" w:eastAsia="zh-CN"/>
              </w:rPr>
            </w:pPr>
            <w:r>
              <w:rPr>
                <w:rFonts w:hint="eastAsia" w:ascii="宋体" w:hAnsi="宋体" w:eastAsia="宋体" w:cs="宋体"/>
                <w:i w:val="0"/>
                <w:iCs w:val="0"/>
                <w:color w:val="000000"/>
                <w:kern w:val="0"/>
                <w:sz w:val="24"/>
                <w:szCs w:val="24"/>
                <w:u w:val="none"/>
                <w:lang w:val="en-US" w:eastAsia="zh-CN" w:bidi="ar"/>
              </w:rPr>
              <w:t>15.26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keepNext w:val="0"/>
              <w:keepLines w:val="0"/>
              <w:pageBreakBefore w:val="0"/>
              <w:kinsoku/>
              <w:wordWrap/>
              <w:overflowPunct/>
              <w:topLinePunct w:val="0"/>
              <w:autoSpaceDE/>
              <w:autoSpaceDN/>
              <w:bidi w:val="0"/>
              <w:snapToGrid/>
              <w:spacing w:line="480" w:lineRule="exact"/>
              <w:jc w:val="center"/>
              <w:textAlignment w:val="auto"/>
              <w:rPr>
                <w:rStyle w:val="11"/>
                <w:rFonts w:ascii="仿宋_GB2312" w:hAnsi="仿宋_GB2312" w:eastAsia="仿宋_GB2312" w:cs="仿宋_GB2312"/>
                <w:bCs/>
                <w:kern w:val="0"/>
                <w:sz w:val="32"/>
                <w:szCs w:val="32"/>
              </w:rPr>
            </w:pPr>
            <w:r>
              <w:rPr>
                <w:rStyle w:val="11"/>
                <w:rFonts w:hint="eastAsia" w:ascii="仿宋_GB2312" w:hAnsi="仿宋_GB2312" w:eastAsia="仿宋_GB2312" w:cs="仿宋_GB2312"/>
                <w:bCs/>
                <w:kern w:val="0"/>
                <w:sz w:val="32"/>
                <w:szCs w:val="32"/>
              </w:rPr>
              <w:t>陈</w:t>
            </w:r>
            <w:r>
              <w:rPr>
                <w:rStyle w:val="11"/>
                <w:rFonts w:hint="eastAsia" w:ascii="仿宋_GB2312" w:hAnsi="仿宋_GB2312" w:eastAsia="仿宋_GB2312" w:cs="仿宋_GB2312"/>
                <w:bCs/>
                <w:kern w:val="0"/>
                <w:sz w:val="32"/>
                <w:szCs w:val="32"/>
                <w:lang w:val="en-US" w:eastAsia="zh-CN"/>
              </w:rPr>
              <w:t xml:space="preserve">  </w:t>
            </w:r>
            <w:r>
              <w:rPr>
                <w:rStyle w:val="11"/>
                <w:rFonts w:hint="eastAsia" w:ascii="仿宋_GB2312" w:hAnsi="仿宋_GB2312" w:eastAsia="仿宋_GB2312" w:cs="仿宋_GB2312"/>
                <w:bCs/>
                <w:kern w:val="0"/>
                <w:sz w:val="32"/>
                <w:szCs w:val="32"/>
              </w:rPr>
              <w:t>鹰</w:t>
            </w:r>
          </w:p>
        </w:tc>
        <w:tc>
          <w:tcPr>
            <w:tcW w:w="3264" w:type="dxa"/>
          </w:tcPr>
          <w:p>
            <w:pPr>
              <w:keepNext w:val="0"/>
              <w:keepLines w:val="0"/>
              <w:pageBreakBefore w:val="0"/>
              <w:kinsoku/>
              <w:wordWrap/>
              <w:overflowPunct/>
              <w:topLinePunct w:val="0"/>
              <w:autoSpaceDE/>
              <w:autoSpaceDN/>
              <w:bidi w:val="0"/>
              <w:snapToGrid/>
              <w:spacing w:line="480" w:lineRule="exact"/>
              <w:jc w:val="center"/>
              <w:textAlignment w:val="auto"/>
              <w:rPr>
                <w:rStyle w:val="11"/>
                <w:rFonts w:hint="default" w:ascii="仿宋_GB2312" w:hAnsi="仿宋_GB2312" w:eastAsia="仿宋_GB2312" w:cs="仿宋_GB2312"/>
                <w:bCs/>
                <w:kern w:val="0"/>
                <w:sz w:val="32"/>
                <w:szCs w:val="32"/>
                <w:lang w:val="en-US" w:eastAsia="zh-CN"/>
              </w:rPr>
            </w:pPr>
            <w:r>
              <w:rPr>
                <w:rStyle w:val="11"/>
                <w:rFonts w:hint="eastAsia" w:ascii="仿宋_GB2312" w:hAnsi="仿宋_GB2312" w:eastAsia="仿宋_GB2312" w:cs="仿宋_GB2312"/>
                <w:bCs/>
                <w:kern w:val="0"/>
                <w:sz w:val="32"/>
                <w:szCs w:val="32"/>
                <w:lang w:val="en-US" w:eastAsia="zh-CN"/>
              </w:rPr>
              <w:t>党委委员、副总经理</w:t>
            </w:r>
          </w:p>
        </w:tc>
        <w:tc>
          <w:tcPr>
            <w:tcW w:w="2050" w:type="dxa"/>
          </w:tcPr>
          <w:p>
            <w:pPr>
              <w:keepNext w:val="0"/>
              <w:keepLines w:val="0"/>
              <w:pageBreakBefore w:val="0"/>
              <w:kinsoku/>
              <w:wordWrap/>
              <w:overflowPunct/>
              <w:topLinePunct w:val="0"/>
              <w:autoSpaceDE/>
              <w:autoSpaceDN/>
              <w:bidi w:val="0"/>
              <w:snapToGrid/>
              <w:spacing w:line="480" w:lineRule="exact"/>
              <w:jc w:val="center"/>
              <w:textAlignment w:val="auto"/>
              <w:rPr>
                <w:rStyle w:val="11"/>
                <w:rFonts w:hint="default" w:ascii="仿宋_GB2312" w:hAnsi="仿宋_GB2312" w:eastAsia="仿宋_GB2312" w:cs="仿宋_GB2312"/>
                <w:bCs/>
                <w:kern w:val="0"/>
                <w:sz w:val="32"/>
                <w:szCs w:val="32"/>
                <w:lang w:val="en-US" w:eastAsia="zh-CN"/>
              </w:rPr>
            </w:pPr>
            <w:r>
              <w:rPr>
                <w:rStyle w:val="11"/>
                <w:rFonts w:hint="eastAsia" w:ascii="仿宋_GB2312" w:hAnsi="仿宋_GB2312" w:eastAsia="仿宋_GB2312" w:cs="仿宋_GB2312"/>
                <w:bCs/>
                <w:kern w:val="0"/>
                <w:sz w:val="32"/>
                <w:szCs w:val="32"/>
                <w:lang w:val="en-US" w:eastAsia="zh-CN"/>
              </w:rPr>
              <w:t>2017.03</w:t>
            </w:r>
          </w:p>
        </w:tc>
        <w:tc>
          <w:tcPr>
            <w:tcW w:w="2015" w:type="dxa"/>
            <w:vAlign w:val="center"/>
          </w:tcPr>
          <w:p>
            <w:pPr>
              <w:keepNext w:val="0"/>
              <w:keepLines w:val="0"/>
              <w:widowControl/>
              <w:suppressLineNumbers w:val="0"/>
              <w:jc w:val="center"/>
              <w:textAlignment w:val="center"/>
              <w:rPr>
                <w:rStyle w:val="11"/>
                <w:rFonts w:hint="default" w:ascii="仿宋_GB2312" w:hAnsi="仿宋_GB2312" w:eastAsia="仿宋_GB2312" w:cs="仿宋_GB2312"/>
                <w:bCs/>
                <w:kern w:val="0"/>
                <w:sz w:val="32"/>
                <w:szCs w:val="32"/>
                <w:lang w:val="en-US" w:eastAsia="zh-CN"/>
              </w:rPr>
            </w:pPr>
            <w:r>
              <w:rPr>
                <w:rFonts w:hint="eastAsia" w:ascii="宋体" w:hAnsi="宋体" w:eastAsia="宋体" w:cs="宋体"/>
                <w:i w:val="0"/>
                <w:iCs w:val="0"/>
                <w:color w:val="000000"/>
                <w:kern w:val="0"/>
                <w:sz w:val="24"/>
                <w:szCs w:val="24"/>
                <w:u w:val="none"/>
                <w:lang w:val="en-US" w:eastAsia="zh-CN" w:bidi="ar"/>
              </w:rPr>
              <w:t>14.67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keepNext w:val="0"/>
              <w:keepLines w:val="0"/>
              <w:pageBreakBefore w:val="0"/>
              <w:kinsoku/>
              <w:wordWrap/>
              <w:overflowPunct/>
              <w:topLinePunct w:val="0"/>
              <w:autoSpaceDE/>
              <w:autoSpaceDN/>
              <w:bidi w:val="0"/>
              <w:snapToGrid/>
              <w:spacing w:line="480" w:lineRule="exact"/>
              <w:jc w:val="center"/>
              <w:textAlignment w:val="auto"/>
              <w:rPr>
                <w:rStyle w:val="11"/>
                <w:rFonts w:ascii="仿宋_GB2312" w:hAnsi="仿宋_GB2312" w:eastAsia="仿宋_GB2312" w:cs="仿宋_GB2312"/>
                <w:bCs/>
                <w:kern w:val="0"/>
                <w:sz w:val="32"/>
                <w:szCs w:val="32"/>
              </w:rPr>
            </w:pPr>
            <w:r>
              <w:rPr>
                <w:rStyle w:val="11"/>
                <w:rFonts w:hint="eastAsia" w:ascii="仿宋_GB2312" w:hAnsi="仿宋_GB2312" w:eastAsia="仿宋_GB2312" w:cs="仿宋_GB2312"/>
                <w:bCs/>
                <w:kern w:val="0"/>
                <w:sz w:val="32"/>
                <w:szCs w:val="32"/>
              </w:rPr>
              <w:t>郝雅民</w:t>
            </w:r>
          </w:p>
        </w:tc>
        <w:tc>
          <w:tcPr>
            <w:tcW w:w="3264" w:type="dxa"/>
          </w:tcPr>
          <w:p>
            <w:pPr>
              <w:keepNext w:val="0"/>
              <w:keepLines w:val="0"/>
              <w:pageBreakBefore w:val="0"/>
              <w:kinsoku/>
              <w:wordWrap/>
              <w:overflowPunct/>
              <w:topLinePunct w:val="0"/>
              <w:autoSpaceDE/>
              <w:autoSpaceDN/>
              <w:bidi w:val="0"/>
              <w:snapToGrid/>
              <w:spacing w:line="480" w:lineRule="exact"/>
              <w:jc w:val="center"/>
              <w:textAlignment w:val="auto"/>
              <w:rPr>
                <w:rStyle w:val="11"/>
                <w:rFonts w:hint="default" w:ascii="仿宋_GB2312" w:hAnsi="仿宋_GB2312" w:eastAsia="仿宋_GB2312" w:cs="仿宋_GB2312"/>
                <w:bCs/>
                <w:kern w:val="0"/>
                <w:sz w:val="32"/>
                <w:szCs w:val="32"/>
                <w:lang w:val="en-US" w:eastAsia="zh-CN"/>
              </w:rPr>
            </w:pPr>
            <w:r>
              <w:rPr>
                <w:rStyle w:val="11"/>
                <w:rFonts w:hint="eastAsia" w:ascii="仿宋_GB2312" w:hAnsi="仿宋_GB2312" w:eastAsia="仿宋_GB2312" w:cs="仿宋_GB2312"/>
                <w:bCs/>
                <w:kern w:val="0"/>
                <w:sz w:val="32"/>
                <w:szCs w:val="32"/>
                <w:lang w:val="en-US" w:eastAsia="zh-CN"/>
              </w:rPr>
              <w:t>党委委员、副总经理</w:t>
            </w:r>
          </w:p>
        </w:tc>
        <w:tc>
          <w:tcPr>
            <w:tcW w:w="2050" w:type="dxa"/>
          </w:tcPr>
          <w:p>
            <w:pPr>
              <w:keepNext w:val="0"/>
              <w:keepLines w:val="0"/>
              <w:pageBreakBefore w:val="0"/>
              <w:kinsoku/>
              <w:wordWrap/>
              <w:overflowPunct/>
              <w:topLinePunct w:val="0"/>
              <w:autoSpaceDE/>
              <w:autoSpaceDN/>
              <w:bidi w:val="0"/>
              <w:snapToGrid/>
              <w:spacing w:line="480" w:lineRule="exact"/>
              <w:jc w:val="center"/>
              <w:textAlignment w:val="auto"/>
              <w:rPr>
                <w:rStyle w:val="11"/>
                <w:rFonts w:hint="default" w:ascii="仿宋_GB2312" w:hAnsi="仿宋_GB2312" w:eastAsia="仿宋_GB2312" w:cs="仿宋_GB2312"/>
                <w:bCs/>
                <w:kern w:val="0"/>
                <w:sz w:val="32"/>
                <w:szCs w:val="32"/>
                <w:lang w:val="en-US" w:eastAsia="zh-CN"/>
              </w:rPr>
            </w:pPr>
            <w:r>
              <w:rPr>
                <w:rStyle w:val="11"/>
                <w:rFonts w:hint="eastAsia" w:ascii="仿宋_GB2312" w:hAnsi="仿宋_GB2312" w:eastAsia="仿宋_GB2312" w:cs="仿宋_GB2312"/>
                <w:bCs/>
                <w:kern w:val="0"/>
                <w:sz w:val="32"/>
                <w:szCs w:val="32"/>
                <w:lang w:val="en-US" w:eastAsia="zh-CN"/>
              </w:rPr>
              <w:t>2018.12</w:t>
            </w:r>
          </w:p>
        </w:tc>
        <w:tc>
          <w:tcPr>
            <w:tcW w:w="2015" w:type="dxa"/>
            <w:vAlign w:val="center"/>
          </w:tcPr>
          <w:p>
            <w:pPr>
              <w:keepNext w:val="0"/>
              <w:keepLines w:val="0"/>
              <w:widowControl/>
              <w:suppressLineNumbers w:val="0"/>
              <w:jc w:val="center"/>
              <w:textAlignment w:val="center"/>
              <w:rPr>
                <w:rStyle w:val="11"/>
                <w:rFonts w:hint="default" w:ascii="仿宋_GB2312" w:hAnsi="仿宋_GB2312" w:eastAsia="仿宋_GB2312" w:cs="仿宋_GB2312"/>
                <w:bCs/>
                <w:kern w:val="0"/>
                <w:sz w:val="32"/>
                <w:szCs w:val="32"/>
                <w:lang w:val="en-US" w:eastAsia="zh-CN"/>
              </w:rPr>
            </w:pPr>
            <w:r>
              <w:rPr>
                <w:rFonts w:hint="eastAsia" w:ascii="宋体" w:hAnsi="宋体" w:eastAsia="宋体" w:cs="宋体"/>
                <w:i w:val="0"/>
                <w:iCs w:val="0"/>
                <w:color w:val="000000"/>
                <w:kern w:val="0"/>
                <w:sz w:val="24"/>
                <w:szCs w:val="24"/>
                <w:u w:val="none"/>
                <w:lang w:val="en-US" w:eastAsia="zh-CN" w:bidi="ar"/>
              </w:rPr>
              <w:t>13.88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keepNext w:val="0"/>
              <w:keepLines w:val="0"/>
              <w:pageBreakBefore w:val="0"/>
              <w:kinsoku/>
              <w:wordWrap/>
              <w:overflowPunct/>
              <w:topLinePunct w:val="0"/>
              <w:autoSpaceDE/>
              <w:autoSpaceDN/>
              <w:bidi w:val="0"/>
              <w:snapToGrid/>
              <w:spacing w:line="480" w:lineRule="exact"/>
              <w:jc w:val="center"/>
              <w:textAlignment w:val="auto"/>
              <w:rPr>
                <w:rStyle w:val="11"/>
                <w:rFonts w:ascii="仿宋_GB2312" w:hAnsi="仿宋_GB2312" w:eastAsia="仿宋_GB2312" w:cs="仿宋_GB2312"/>
                <w:bCs/>
                <w:kern w:val="0"/>
                <w:sz w:val="32"/>
                <w:szCs w:val="32"/>
              </w:rPr>
            </w:pPr>
            <w:r>
              <w:rPr>
                <w:rStyle w:val="11"/>
                <w:rFonts w:hint="eastAsia" w:ascii="仿宋_GB2312" w:hAnsi="仿宋_GB2312" w:eastAsia="仿宋_GB2312" w:cs="仿宋_GB2312"/>
                <w:bCs/>
                <w:kern w:val="0"/>
                <w:sz w:val="32"/>
                <w:szCs w:val="32"/>
              </w:rPr>
              <w:t>包</w:t>
            </w:r>
            <w:r>
              <w:rPr>
                <w:rStyle w:val="11"/>
                <w:rFonts w:hint="eastAsia" w:ascii="仿宋_GB2312" w:hAnsi="仿宋_GB2312" w:eastAsia="仿宋_GB2312" w:cs="仿宋_GB2312"/>
                <w:bCs/>
                <w:kern w:val="0"/>
                <w:sz w:val="32"/>
                <w:szCs w:val="32"/>
                <w:lang w:val="en-US" w:eastAsia="zh-CN"/>
              </w:rPr>
              <w:t xml:space="preserve">  </w:t>
            </w:r>
            <w:r>
              <w:rPr>
                <w:rStyle w:val="11"/>
                <w:rFonts w:hint="eastAsia" w:ascii="仿宋_GB2312" w:hAnsi="仿宋_GB2312" w:eastAsia="仿宋_GB2312" w:cs="仿宋_GB2312"/>
                <w:bCs/>
                <w:kern w:val="0"/>
                <w:sz w:val="32"/>
                <w:szCs w:val="32"/>
              </w:rPr>
              <w:t>放</w:t>
            </w:r>
          </w:p>
        </w:tc>
        <w:tc>
          <w:tcPr>
            <w:tcW w:w="3264" w:type="dxa"/>
          </w:tcPr>
          <w:p>
            <w:pPr>
              <w:keepNext w:val="0"/>
              <w:keepLines w:val="0"/>
              <w:pageBreakBefore w:val="0"/>
              <w:kinsoku/>
              <w:wordWrap/>
              <w:overflowPunct/>
              <w:topLinePunct w:val="0"/>
              <w:autoSpaceDE/>
              <w:autoSpaceDN/>
              <w:bidi w:val="0"/>
              <w:snapToGrid/>
              <w:spacing w:line="480" w:lineRule="exact"/>
              <w:jc w:val="center"/>
              <w:textAlignment w:val="auto"/>
              <w:rPr>
                <w:rStyle w:val="11"/>
                <w:rFonts w:hint="default" w:ascii="仿宋_GB2312" w:hAnsi="仿宋_GB2312" w:eastAsia="仿宋_GB2312" w:cs="仿宋_GB2312"/>
                <w:bCs/>
                <w:kern w:val="0"/>
                <w:sz w:val="32"/>
                <w:szCs w:val="32"/>
                <w:lang w:val="en-US" w:eastAsia="zh-CN"/>
              </w:rPr>
            </w:pPr>
            <w:r>
              <w:rPr>
                <w:rStyle w:val="11"/>
                <w:rFonts w:hint="eastAsia" w:ascii="仿宋_GB2312" w:hAnsi="仿宋_GB2312" w:eastAsia="仿宋_GB2312" w:cs="仿宋_GB2312"/>
                <w:bCs/>
                <w:kern w:val="0"/>
                <w:sz w:val="32"/>
                <w:szCs w:val="32"/>
                <w:lang w:val="en-US" w:eastAsia="zh-CN"/>
              </w:rPr>
              <w:t>党委委员、副总经理</w:t>
            </w:r>
          </w:p>
        </w:tc>
        <w:tc>
          <w:tcPr>
            <w:tcW w:w="2050" w:type="dxa"/>
          </w:tcPr>
          <w:p>
            <w:pPr>
              <w:keepNext w:val="0"/>
              <w:keepLines w:val="0"/>
              <w:pageBreakBefore w:val="0"/>
              <w:kinsoku/>
              <w:wordWrap/>
              <w:overflowPunct/>
              <w:topLinePunct w:val="0"/>
              <w:autoSpaceDE/>
              <w:autoSpaceDN/>
              <w:bidi w:val="0"/>
              <w:snapToGrid/>
              <w:spacing w:line="480" w:lineRule="exact"/>
              <w:jc w:val="center"/>
              <w:textAlignment w:val="auto"/>
              <w:rPr>
                <w:rStyle w:val="11"/>
                <w:rFonts w:hint="default" w:ascii="仿宋_GB2312" w:hAnsi="仿宋_GB2312" w:eastAsia="仿宋_GB2312" w:cs="仿宋_GB2312"/>
                <w:bCs/>
                <w:kern w:val="0"/>
                <w:sz w:val="32"/>
                <w:szCs w:val="32"/>
                <w:lang w:val="en-US" w:eastAsia="zh-CN"/>
              </w:rPr>
            </w:pPr>
            <w:r>
              <w:rPr>
                <w:rStyle w:val="11"/>
                <w:rFonts w:hint="eastAsia" w:ascii="仿宋_GB2312" w:hAnsi="仿宋_GB2312" w:eastAsia="仿宋_GB2312" w:cs="仿宋_GB2312"/>
                <w:bCs/>
                <w:kern w:val="0"/>
                <w:sz w:val="32"/>
                <w:szCs w:val="32"/>
                <w:lang w:val="en-US" w:eastAsia="zh-CN"/>
              </w:rPr>
              <w:t>2017.03</w:t>
            </w:r>
          </w:p>
        </w:tc>
        <w:tc>
          <w:tcPr>
            <w:tcW w:w="2015" w:type="dxa"/>
            <w:vAlign w:val="center"/>
          </w:tcPr>
          <w:p>
            <w:pPr>
              <w:keepNext w:val="0"/>
              <w:keepLines w:val="0"/>
              <w:widowControl/>
              <w:suppressLineNumbers w:val="0"/>
              <w:jc w:val="center"/>
              <w:textAlignment w:val="center"/>
              <w:rPr>
                <w:rStyle w:val="11"/>
                <w:rFonts w:hint="default" w:ascii="仿宋_GB2312" w:hAnsi="仿宋_GB2312" w:eastAsia="仿宋_GB2312" w:cs="仿宋_GB2312"/>
                <w:bCs/>
                <w:kern w:val="0"/>
                <w:sz w:val="32"/>
                <w:szCs w:val="32"/>
                <w:lang w:val="en-US" w:eastAsia="zh-CN"/>
              </w:rPr>
            </w:pPr>
            <w:r>
              <w:rPr>
                <w:rFonts w:hint="eastAsia" w:ascii="宋体" w:hAnsi="宋体" w:eastAsia="宋体" w:cs="宋体"/>
                <w:i w:val="0"/>
                <w:iCs w:val="0"/>
                <w:color w:val="000000"/>
                <w:kern w:val="0"/>
                <w:sz w:val="24"/>
                <w:szCs w:val="24"/>
                <w:u w:val="none"/>
                <w:lang w:val="en-US" w:eastAsia="zh-CN" w:bidi="ar"/>
              </w:rPr>
              <w:t>13.58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keepNext w:val="0"/>
              <w:keepLines w:val="0"/>
              <w:pageBreakBefore w:val="0"/>
              <w:kinsoku/>
              <w:wordWrap/>
              <w:overflowPunct/>
              <w:topLinePunct w:val="0"/>
              <w:autoSpaceDE/>
              <w:autoSpaceDN/>
              <w:bidi w:val="0"/>
              <w:snapToGrid/>
              <w:spacing w:line="480" w:lineRule="exact"/>
              <w:jc w:val="center"/>
              <w:textAlignment w:val="auto"/>
              <w:rPr>
                <w:rStyle w:val="11"/>
                <w:rFonts w:ascii="仿宋_GB2312" w:hAnsi="仿宋_GB2312" w:eastAsia="仿宋_GB2312" w:cs="仿宋_GB2312"/>
                <w:bCs/>
                <w:kern w:val="0"/>
                <w:sz w:val="32"/>
                <w:szCs w:val="32"/>
              </w:rPr>
            </w:pPr>
            <w:r>
              <w:rPr>
                <w:rStyle w:val="11"/>
                <w:rFonts w:hint="eastAsia" w:ascii="仿宋_GB2312" w:hAnsi="仿宋_GB2312" w:eastAsia="仿宋_GB2312" w:cs="仿宋_GB2312"/>
                <w:bCs/>
                <w:kern w:val="0"/>
                <w:sz w:val="32"/>
                <w:szCs w:val="32"/>
              </w:rPr>
              <w:t>刘正莉</w:t>
            </w:r>
          </w:p>
        </w:tc>
        <w:tc>
          <w:tcPr>
            <w:tcW w:w="3264" w:type="dxa"/>
          </w:tcPr>
          <w:p>
            <w:pPr>
              <w:keepNext w:val="0"/>
              <w:keepLines w:val="0"/>
              <w:pageBreakBefore w:val="0"/>
              <w:kinsoku/>
              <w:wordWrap/>
              <w:overflowPunct/>
              <w:topLinePunct w:val="0"/>
              <w:autoSpaceDE/>
              <w:autoSpaceDN/>
              <w:bidi w:val="0"/>
              <w:snapToGrid/>
              <w:spacing w:line="480" w:lineRule="exact"/>
              <w:jc w:val="center"/>
              <w:textAlignment w:val="auto"/>
              <w:rPr>
                <w:rStyle w:val="11"/>
                <w:rFonts w:hint="default" w:ascii="仿宋_GB2312" w:hAnsi="仿宋_GB2312" w:eastAsia="仿宋_GB2312" w:cs="仿宋_GB2312"/>
                <w:bCs/>
                <w:kern w:val="0"/>
                <w:sz w:val="32"/>
                <w:szCs w:val="32"/>
                <w:lang w:val="en-US" w:eastAsia="zh-CN"/>
              </w:rPr>
            </w:pPr>
            <w:r>
              <w:rPr>
                <w:rStyle w:val="11"/>
                <w:rFonts w:hint="eastAsia" w:ascii="仿宋_GB2312" w:hAnsi="仿宋_GB2312" w:eastAsia="仿宋_GB2312" w:cs="仿宋_GB2312"/>
                <w:bCs/>
                <w:kern w:val="0"/>
                <w:sz w:val="32"/>
                <w:szCs w:val="32"/>
                <w:lang w:val="en-US" w:eastAsia="zh-CN"/>
              </w:rPr>
              <w:t>党委委员、总会计师</w:t>
            </w:r>
          </w:p>
        </w:tc>
        <w:tc>
          <w:tcPr>
            <w:tcW w:w="2050" w:type="dxa"/>
          </w:tcPr>
          <w:p>
            <w:pPr>
              <w:keepNext w:val="0"/>
              <w:keepLines w:val="0"/>
              <w:pageBreakBefore w:val="0"/>
              <w:kinsoku/>
              <w:wordWrap/>
              <w:overflowPunct/>
              <w:topLinePunct w:val="0"/>
              <w:autoSpaceDE/>
              <w:autoSpaceDN/>
              <w:bidi w:val="0"/>
              <w:snapToGrid/>
              <w:spacing w:line="480" w:lineRule="exact"/>
              <w:jc w:val="center"/>
              <w:textAlignment w:val="auto"/>
              <w:rPr>
                <w:rStyle w:val="11"/>
                <w:rFonts w:hint="default" w:ascii="仿宋_GB2312" w:hAnsi="仿宋_GB2312" w:eastAsia="仿宋_GB2312" w:cs="仿宋_GB2312"/>
                <w:bCs/>
                <w:kern w:val="0"/>
                <w:sz w:val="32"/>
                <w:szCs w:val="32"/>
                <w:lang w:val="en-US" w:eastAsia="zh-CN"/>
              </w:rPr>
            </w:pPr>
            <w:r>
              <w:rPr>
                <w:rStyle w:val="11"/>
                <w:rFonts w:hint="eastAsia" w:ascii="仿宋_GB2312" w:hAnsi="仿宋_GB2312" w:eastAsia="仿宋_GB2312" w:cs="仿宋_GB2312"/>
                <w:bCs/>
                <w:kern w:val="0"/>
                <w:sz w:val="32"/>
                <w:szCs w:val="32"/>
                <w:lang w:val="en-US" w:eastAsia="zh-CN"/>
              </w:rPr>
              <w:t>2017.03</w:t>
            </w:r>
          </w:p>
        </w:tc>
        <w:tc>
          <w:tcPr>
            <w:tcW w:w="2015" w:type="dxa"/>
            <w:vAlign w:val="center"/>
          </w:tcPr>
          <w:p>
            <w:pPr>
              <w:keepNext w:val="0"/>
              <w:keepLines w:val="0"/>
              <w:widowControl/>
              <w:suppressLineNumbers w:val="0"/>
              <w:jc w:val="center"/>
              <w:textAlignment w:val="center"/>
              <w:rPr>
                <w:rStyle w:val="11"/>
                <w:rFonts w:hint="default" w:ascii="仿宋_GB2312" w:hAnsi="仿宋_GB2312" w:eastAsia="仿宋_GB2312" w:cs="仿宋_GB2312"/>
                <w:bCs/>
                <w:kern w:val="0"/>
                <w:sz w:val="32"/>
                <w:szCs w:val="32"/>
                <w:lang w:val="en-US" w:eastAsia="zh-CN"/>
              </w:rPr>
            </w:pPr>
            <w:r>
              <w:rPr>
                <w:rFonts w:hint="eastAsia" w:ascii="宋体" w:hAnsi="宋体" w:eastAsia="宋体" w:cs="宋体"/>
                <w:i w:val="0"/>
                <w:iCs w:val="0"/>
                <w:color w:val="000000"/>
                <w:kern w:val="0"/>
                <w:sz w:val="24"/>
                <w:szCs w:val="24"/>
                <w:u w:val="none"/>
                <w:lang w:val="en-US" w:eastAsia="zh-CN" w:bidi="ar"/>
              </w:rPr>
              <w:t>13.74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keepNext w:val="0"/>
              <w:keepLines w:val="0"/>
              <w:pageBreakBefore w:val="0"/>
              <w:kinsoku/>
              <w:wordWrap/>
              <w:overflowPunct/>
              <w:topLinePunct w:val="0"/>
              <w:autoSpaceDE/>
              <w:autoSpaceDN/>
              <w:bidi w:val="0"/>
              <w:snapToGrid/>
              <w:spacing w:line="480" w:lineRule="exact"/>
              <w:jc w:val="center"/>
              <w:textAlignment w:val="auto"/>
              <w:rPr>
                <w:rStyle w:val="11"/>
                <w:rFonts w:hint="default" w:ascii="仿宋_GB2312" w:hAnsi="仿宋_GB2312" w:eastAsia="仿宋_GB2312" w:cs="仿宋_GB2312"/>
                <w:bCs/>
                <w:kern w:val="0"/>
                <w:sz w:val="32"/>
                <w:szCs w:val="32"/>
                <w:lang w:val="en-US" w:eastAsia="zh-CN"/>
              </w:rPr>
            </w:pPr>
            <w:r>
              <w:rPr>
                <w:rStyle w:val="11"/>
                <w:rFonts w:hint="eastAsia" w:ascii="仿宋_GB2312" w:hAnsi="仿宋_GB2312" w:eastAsia="仿宋_GB2312" w:cs="仿宋_GB2312"/>
                <w:bCs/>
                <w:kern w:val="0"/>
                <w:sz w:val="32"/>
                <w:szCs w:val="32"/>
                <w:lang w:val="en-US" w:eastAsia="zh-CN"/>
              </w:rPr>
              <w:t>方向明</w:t>
            </w:r>
          </w:p>
        </w:tc>
        <w:tc>
          <w:tcPr>
            <w:tcW w:w="3264" w:type="dxa"/>
          </w:tcPr>
          <w:p>
            <w:pPr>
              <w:keepNext w:val="0"/>
              <w:keepLines w:val="0"/>
              <w:pageBreakBefore w:val="0"/>
              <w:kinsoku/>
              <w:wordWrap/>
              <w:overflowPunct/>
              <w:topLinePunct w:val="0"/>
              <w:autoSpaceDE/>
              <w:autoSpaceDN/>
              <w:bidi w:val="0"/>
              <w:snapToGrid/>
              <w:spacing w:line="480" w:lineRule="exact"/>
              <w:jc w:val="center"/>
              <w:textAlignment w:val="auto"/>
              <w:rPr>
                <w:rStyle w:val="11"/>
                <w:rFonts w:hint="default" w:ascii="仿宋_GB2312" w:hAnsi="仿宋_GB2312" w:eastAsia="仿宋_GB2312" w:cs="仿宋_GB2312"/>
                <w:bCs/>
                <w:kern w:val="0"/>
                <w:sz w:val="32"/>
                <w:szCs w:val="32"/>
                <w:lang w:val="en-US" w:eastAsia="zh-CN"/>
              </w:rPr>
            </w:pPr>
            <w:r>
              <w:rPr>
                <w:rStyle w:val="11"/>
                <w:rFonts w:hint="eastAsia" w:ascii="仿宋_GB2312" w:hAnsi="仿宋_GB2312" w:eastAsia="仿宋_GB2312" w:cs="仿宋_GB2312"/>
                <w:bCs/>
                <w:kern w:val="0"/>
                <w:sz w:val="32"/>
                <w:szCs w:val="32"/>
                <w:lang w:val="en-US" w:eastAsia="zh-CN"/>
              </w:rPr>
              <w:t>监事会主席</w:t>
            </w:r>
          </w:p>
        </w:tc>
        <w:tc>
          <w:tcPr>
            <w:tcW w:w="2050" w:type="dxa"/>
          </w:tcPr>
          <w:p>
            <w:pPr>
              <w:keepNext w:val="0"/>
              <w:keepLines w:val="0"/>
              <w:pageBreakBefore w:val="0"/>
              <w:kinsoku/>
              <w:wordWrap/>
              <w:overflowPunct/>
              <w:topLinePunct w:val="0"/>
              <w:autoSpaceDE/>
              <w:autoSpaceDN/>
              <w:bidi w:val="0"/>
              <w:snapToGrid/>
              <w:spacing w:line="480" w:lineRule="exact"/>
              <w:jc w:val="center"/>
              <w:textAlignment w:val="auto"/>
              <w:rPr>
                <w:rStyle w:val="11"/>
                <w:rFonts w:hint="default" w:ascii="仿宋_GB2312" w:hAnsi="仿宋_GB2312" w:eastAsia="仿宋_GB2312" w:cs="仿宋_GB2312"/>
                <w:bCs/>
                <w:kern w:val="0"/>
                <w:sz w:val="32"/>
                <w:szCs w:val="32"/>
                <w:lang w:val="en-US" w:eastAsia="zh-CN"/>
              </w:rPr>
            </w:pPr>
            <w:r>
              <w:rPr>
                <w:rStyle w:val="11"/>
                <w:rFonts w:hint="eastAsia" w:ascii="仿宋_GB2312" w:hAnsi="仿宋_GB2312" w:eastAsia="仿宋_GB2312" w:cs="仿宋_GB2312"/>
                <w:bCs/>
                <w:kern w:val="0"/>
                <w:sz w:val="32"/>
                <w:szCs w:val="32"/>
                <w:lang w:val="en-US" w:eastAsia="zh-CN"/>
              </w:rPr>
              <w:t>2021.05</w:t>
            </w:r>
          </w:p>
        </w:tc>
        <w:tc>
          <w:tcPr>
            <w:tcW w:w="20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5.35</w:t>
            </w:r>
          </w:p>
        </w:tc>
      </w:tr>
    </w:tbl>
    <w:p>
      <w:pPr>
        <w:keepNext w:val="0"/>
        <w:keepLines w:val="0"/>
        <w:pageBreakBefore w:val="0"/>
        <w:numPr>
          <w:ilvl w:val="0"/>
          <w:numId w:val="0"/>
        </w:numPr>
        <w:kinsoku/>
        <w:wordWrap/>
        <w:overflowPunct/>
        <w:topLinePunct w:val="0"/>
        <w:autoSpaceDE/>
        <w:autoSpaceDN/>
        <w:bidi w:val="0"/>
        <w:snapToGrid/>
        <w:spacing w:line="480" w:lineRule="exact"/>
        <w:ind w:firstLine="640" w:firstLineChars="200"/>
        <w:textAlignment w:val="auto"/>
        <w:rPr>
          <w:rStyle w:val="11"/>
          <w:rFonts w:hint="eastAsia" w:ascii="黑体" w:hAnsi="黑体" w:eastAsia="黑体" w:cs="仿宋_GB2312"/>
          <w:bCs/>
          <w:sz w:val="32"/>
          <w:szCs w:val="32"/>
          <w:lang w:val="en-US" w:eastAsia="zh-CN"/>
        </w:rPr>
      </w:pPr>
      <w:r>
        <w:rPr>
          <w:rStyle w:val="11"/>
          <w:rFonts w:hint="eastAsia" w:ascii="黑体" w:hAnsi="黑体" w:eastAsia="黑体" w:cs="仿宋_GB2312"/>
          <w:bCs/>
          <w:sz w:val="32"/>
          <w:szCs w:val="32"/>
          <w:lang w:val="en-US" w:eastAsia="zh-CN"/>
        </w:rPr>
        <w:t>五、重要人事变动</w:t>
      </w:r>
    </w:p>
    <w:p>
      <w:pPr>
        <w:keepNext w:val="0"/>
        <w:keepLines w:val="0"/>
        <w:pageBreakBefore w:val="0"/>
        <w:numPr>
          <w:ilvl w:val="0"/>
          <w:numId w:val="4"/>
        </w:numPr>
        <w:kinsoku/>
        <w:wordWrap/>
        <w:overflowPunct/>
        <w:topLinePunct w:val="0"/>
        <w:autoSpaceDE/>
        <w:autoSpaceDN/>
        <w:bidi w:val="0"/>
        <w:snapToGrid/>
        <w:spacing w:line="480" w:lineRule="exact"/>
        <w:ind w:leftChars="200"/>
        <w:textAlignment w:val="auto"/>
        <w:rPr>
          <w:rStyle w:val="11"/>
          <w:rFonts w:hint="eastAsia" w:ascii="仿宋" w:hAnsi="仿宋" w:eastAsia="仿宋" w:cs="仿宋"/>
          <w:bCs/>
          <w:sz w:val="32"/>
          <w:szCs w:val="32"/>
          <w:lang w:val="en-US" w:eastAsia="zh-CN"/>
        </w:rPr>
      </w:pPr>
      <w:r>
        <w:rPr>
          <w:rStyle w:val="11"/>
          <w:rFonts w:hint="eastAsia" w:ascii="仿宋" w:hAnsi="仿宋" w:eastAsia="仿宋" w:cs="仿宋"/>
          <w:bCs/>
          <w:sz w:val="32"/>
          <w:szCs w:val="32"/>
          <w:lang w:val="en-US" w:eastAsia="zh-CN"/>
        </w:rPr>
        <w:t>领导职务变动情况。</w:t>
      </w:r>
    </w:p>
    <w:p>
      <w:pPr>
        <w:keepNext w:val="0"/>
        <w:keepLines w:val="0"/>
        <w:pageBreakBefore w:val="0"/>
        <w:numPr>
          <w:ilvl w:val="0"/>
          <w:numId w:val="0"/>
        </w:numPr>
        <w:kinsoku/>
        <w:wordWrap/>
        <w:overflowPunct/>
        <w:topLinePunct w:val="0"/>
        <w:autoSpaceDE/>
        <w:autoSpaceDN/>
        <w:bidi w:val="0"/>
        <w:snapToGrid/>
        <w:spacing w:line="480" w:lineRule="exact"/>
        <w:textAlignment w:val="auto"/>
        <w:rPr>
          <w:rStyle w:val="11"/>
          <w:rFonts w:hint="default" w:ascii="仿宋" w:hAnsi="仿宋" w:cs="仿宋" w:eastAsiaTheme="minorEastAsia"/>
          <w:bCs/>
          <w:sz w:val="32"/>
          <w:szCs w:val="32"/>
          <w:lang w:val="en-US" w:eastAsia="zh-CN"/>
        </w:rPr>
      </w:pPr>
      <w:r>
        <w:rPr>
          <w:rStyle w:val="11"/>
          <w:rFonts w:hint="eastAsia" w:ascii="仿宋" w:hAnsi="仿宋" w:eastAsia="仿宋" w:cs="仿宋"/>
          <w:bCs/>
          <w:sz w:val="32"/>
          <w:szCs w:val="32"/>
          <w:lang w:val="en-US" w:eastAsia="zh-CN"/>
        </w:rPr>
        <w:t xml:space="preserve">    2021年5月任命方向明同志为监事会主席，同时免去景新停的监事会主席职务（</w:t>
      </w:r>
      <w:r>
        <w:rPr>
          <w:rFonts w:hint="eastAsia" w:ascii="宋体" w:hAnsi="宋体"/>
          <w:w w:val="90"/>
          <w:sz w:val="28"/>
          <w:szCs w:val="28"/>
          <w:lang w:val="en-US" w:eastAsia="zh-CN"/>
        </w:rPr>
        <w:t>秦国资党发</w:t>
      </w:r>
      <w:r>
        <w:rPr>
          <w:rFonts w:ascii="宋体" w:hAnsi="宋体"/>
          <w:w w:val="90"/>
          <w:sz w:val="28"/>
          <w:szCs w:val="28"/>
        </w:rPr>
        <w:t>[20</w:t>
      </w:r>
      <w:r>
        <w:rPr>
          <w:rFonts w:hint="eastAsia" w:ascii="宋体" w:hAnsi="宋体"/>
          <w:w w:val="90"/>
          <w:sz w:val="28"/>
          <w:szCs w:val="28"/>
          <w:lang w:val="en-US" w:eastAsia="zh-CN"/>
        </w:rPr>
        <w:t>21</w:t>
      </w:r>
      <w:r>
        <w:rPr>
          <w:rFonts w:ascii="宋体" w:hAnsi="宋体"/>
          <w:w w:val="90"/>
          <w:sz w:val="28"/>
          <w:szCs w:val="28"/>
        </w:rPr>
        <w:t>]</w:t>
      </w:r>
      <w:r>
        <w:rPr>
          <w:rFonts w:hint="eastAsia" w:ascii="宋体" w:hAnsi="宋体"/>
          <w:w w:val="90"/>
          <w:sz w:val="28"/>
          <w:szCs w:val="28"/>
          <w:lang w:val="en-US" w:eastAsia="zh-CN"/>
        </w:rPr>
        <w:t>17</w:t>
      </w:r>
      <w:r>
        <w:rPr>
          <w:rFonts w:hint="eastAsia" w:ascii="宋体" w:hAnsi="宋体"/>
          <w:w w:val="90"/>
          <w:sz w:val="28"/>
          <w:szCs w:val="28"/>
        </w:rPr>
        <w:t>号</w:t>
      </w:r>
      <w:r>
        <w:rPr>
          <w:rFonts w:hint="eastAsia" w:ascii="宋体" w:hAnsi="宋体"/>
          <w:w w:val="90"/>
          <w:sz w:val="28"/>
          <w:szCs w:val="28"/>
          <w:lang w:eastAsia="zh-CN"/>
        </w:rPr>
        <w:t>）。</w:t>
      </w:r>
    </w:p>
    <w:p>
      <w:pPr>
        <w:keepNext w:val="0"/>
        <w:keepLines w:val="0"/>
        <w:pageBreakBefore w:val="0"/>
        <w:numPr>
          <w:ilvl w:val="0"/>
          <w:numId w:val="0"/>
        </w:numPr>
        <w:kinsoku/>
        <w:wordWrap/>
        <w:overflowPunct/>
        <w:topLinePunct w:val="0"/>
        <w:autoSpaceDE/>
        <w:autoSpaceDN/>
        <w:bidi w:val="0"/>
        <w:snapToGrid/>
        <w:spacing w:line="480" w:lineRule="exact"/>
        <w:ind w:leftChars="200"/>
        <w:textAlignment w:val="auto"/>
        <w:rPr>
          <w:rStyle w:val="11"/>
          <w:rFonts w:hint="eastAsia" w:ascii="仿宋" w:hAnsi="仿宋" w:eastAsia="仿宋" w:cs="仿宋"/>
          <w:bCs/>
          <w:sz w:val="32"/>
          <w:szCs w:val="32"/>
          <w:lang w:val="en-US" w:eastAsia="zh-CN"/>
        </w:rPr>
      </w:pPr>
      <w:r>
        <w:rPr>
          <w:rStyle w:val="11"/>
          <w:rFonts w:hint="eastAsia" w:ascii="仿宋" w:hAnsi="仿宋" w:eastAsia="仿宋" w:cs="仿宋"/>
          <w:bCs/>
          <w:sz w:val="32"/>
          <w:szCs w:val="32"/>
          <w:lang w:val="en-US" w:eastAsia="zh-CN"/>
        </w:rPr>
        <w:t>（二）部室负责人职务变动情况。</w:t>
      </w:r>
    </w:p>
    <w:p>
      <w:pPr>
        <w:keepNext w:val="0"/>
        <w:keepLines w:val="0"/>
        <w:pageBreakBefore w:val="0"/>
        <w:numPr>
          <w:ilvl w:val="0"/>
          <w:numId w:val="0"/>
        </w:numPr>
        <w:kinsoku/>
        <w:wordWrap/>
        <w:overflowPunct/>
        <w:topLinePunct w:val="0"/>
        <w:autoSpaceDE/>
        <w:autoSpaceDN/>
        <w:bidi w:val="0"/>
        <w:snapToGrid/>
        <w:spacing w:line="480" w:lineRule="exact"/>
        <w:ind w:firstLine="640" w:firstLineChars="200"/>
        <w:textAlignment w:val="auto"/>
        <w:rPr>
          <w:rStyle w:val="11"/>
          <w:rFonts w:hint="default" w:ascii="仿宋" w:hAnsi="仿宋" w:eastAsia="仿宋" w:cs="仿宋_GB2312"/>
          <w:bCs/>
          <w:sz w:val="32"/>
          <w:szCs w:val="32"/>
          <w:lang w:val="en-US" w:eastAsia="zh-CN"/>
        </w:rPr>
      </w:pPr>
      <w:r>
        <w:rPr>
          <w:rStyle w:val="11"/>
          <w:rFonts w:hint="eastAsia" w:ascii="仿宋" w:hAnsi="仿宋" w:eastAsia="仿宋" w:cs="仿宋_GB2312"/>
          <w:bCs/>
          <w:sz w:val="32"/>
          <w:szCs w:val="32"/>
          <w:lang w:val="en-US" w:eastAsia="zh-CN"/>
        </w:rPr>
        <w:t>经公司党委会研究决定任命：吴凡为信访维稳办主任；陈盛毅为柳江煤矿留守处主任；韩天野为纪委副书记；张加迎为3540工作留守处主任；徐磊为资产监管运营部副部长；刘全为企业改革与规划发展部副部长；李成为信访维稳办副主任；杨艳宾为离休干部和劳资部副部长；尹洪超为柳江煤矿留守处副主任；刘胜龙为耀华留守处副主任；贺志超为职工服务中心副主任。免去：秦宝侠纪委副书记职务、陈盛毅信访维稳办主任职务、曾源柳江煤矿留守处主任职务。</w:t>
      </w:r>
    </w:p>
    <w:p>
      <w:pPr>
        <w:keepNext w:val="0"/>
        <w:keepLines w:val="0"/>
        <w:pageBreakBefore w:val="0"/>
        <w:numPr>
          <w:ilvl w:val="0"/>
          <w:numId w:val="0"/>
        </w:numPr>
        <w:kinsoku/>
        <w:wordWrap/>
        <w:overflowPunct/>
        <w:topLinePunct w:val="0"/>
        <w:autoSpaceDE/>
        <w:autoSpaceDN/>
        <w:bidi w:val="0"/>
        <w:snapToGrid/>
        <w:spacing w:line="480" w:lineRule="exact"/>
        <w:ind w:leftChars="200" w:firstLine="320" w:firstLineChars="100"/>
        <w:textAlignment w:val="auto"/>
        <w:rPr>
          <w:rStyle w:val="11"/>
          <w:rFonts w:hint="eastAsia" w:ascii="黑体" w:hAnsi="黑体" w:eastAsia="黑体" w:cs="黑体"/>
          <w:bCs/>
          <w:sz w:val="32"/>
          <w:szCs w:val="32"/>
          <w:lang w:val="en-US" w:eastAsia="zh-CN"/>
        </w:rPr>
      </w:pPr>
      <w:r>
        <w:rPr>
          <w:rStyle w:val="11"/>
          <w:rFonts w:hint="eastAsia" w:ascii="黑体" w:hAnsi="黑体" w:eastAsia="黑体" w:cs="黑体"/>
          <w:bCs/>
          <w:sz w:val="32"/>
          <w:szCs w:val="32"/>
          <w:lang w:val="en-US" w:eastAsia="zh-CN"/>
        </w:rPr>
        <w:t>六、重大事项</w:t>
      </w:r>
    </w:p>
    <w:p>
      <w:pPr>
        <w:keepNext w:val="0"/>
        <w:keepLines w:val="0"/>
        <w:pageBreakBefore w:val="0"/>
        <w:numPr>
          <w:ilvl w:val="0"/>
          <w:numId w:val="5"/>
        </w:numPr>
        <w:kinsoku/>
        <w:wordWrap/>
        <w:overflowPunct/>
        <w:topLinePunct w:val="0"/>
        <w:autoSpaceDE/>
        <w:autoSpaceDN/>
        <w:bidi w:val="0"/>
        <w:snapToGrid/>
        <w:spacing w:line="480" w:lineRule="exact"/>
        <w:ind w:leftChars="200"/>
        <w:textAlignment w:val="auto"/>
        <w:rPr>
          <w:rFonts w:ascii="仿宋" w:hAnsi="仿宋" w:eastAsia="仿宋"/>
          <w:sz w:val="30"/>
          <w:szCs w:val="30"/>
        </w:rPr>
      </w:pPr>
      <w:r>
        <w:rPr>
          <w:rStyle w:val="11"/>
          <w:rFonts w:hint="eastAsia" w:ascii="仿宋" w:hAnsi="仿宋" w:eastAsia="仿宋" w:cs="仿宋_GB2312"/>
          <w:bCs/>
          <w:sz w:val="32"/>
          <w:szCs w:val="32"/>
          <w:lang w:val="en-US" w:eastAsia="zh-CN"/>
        </w:rPr>
        <w:t>改制重组情况。无。</w:t>
      </w:r>
    </w:p>
    <w:p>
      <w:pPr>
        <w:keepNext w:val="0"/>
        <w:keepLines w:val="0"/>
        <w:pageBreakBefore w:val="0"/>
        <w:numPr>
          <w:ilvl w:val="0"/>
          <w:numId w:val="5"/>
        </w:numPr>
        <w:kinsoku/>
        <w:wordWrap/>
        <w:overflowPunct/>
        <w:topLinePunct w:val="0"/>
        <w:autoSpaceDE/>
        <w:autoSpaceDN/>
        <w:bidi w:val="0"/>
        <w:snapToGrid/>
        <w:spacing w:line="480" w:lineRule="exact"/>
        <w:ind w:left="0" w:leftChars="0" w:firstLine="419" w:firstLineChars="131"/>
        <w:textAlignment w:val="auto"/>
        <w:rPr>
          <w:rStyle w:val="11"/>
          <w:rFonts w:hint="default" w:ascii="仿宋" w:hAnsi="仿宋" w:eastAsia="仿宋" w:cs="仿宋_GB2312"/>
          <w:bCs/>
          <w:sz w:val="32"/>
          <w:szCs w:val="32"/>
          <w:lang w:val="en-US" w:eastAsia="zh-CN"/>
        </w:rPr>
      </w:pPr>
      <w:r>
        <w:rPr>
          <w:rStyle w:val="11"/>
          <w:rFonts w:hint="eastAsia" w:ascii="仿宋" w:hAnsi="仿宋" w:eastAsia="仿宋" w:cs="仿宋_GB2312"/>
          <w:bCs/>
          <w:sz w:val="32"/>
          <w:szCs w:val="32"/>
          <w:lang w:val="en-US" w:eastAsia="zh-CN"/>
        </w:rPr>
        <w:t>产权转让和增资情况。</w:t>
      </w:r>
      <w:r>
        <w:rPr>
          <w:rFonts w:hint="eastAsia" w:ascii="仿宋" w:hAnsi="仿宋" w:eastAsia="仿宋"/>
          <w:sz w:val="30"/>
          <w:szCs w:val="30"/>
        </w:rPr>
        <w:t>通过人民法院诉讼资产网网络司法拍卖平台,成功拍下秦皇岛经济技术开发区嵩山路7号、9号部分房产及土地使用权，竞拍费用共计1756.74万元。</w:t>
      </w:r>
    </w:p>
    <w:p>
      <w:pPr>
        <w:keepNext w:val="0"/>
        <w:keepLines w:val="0"/>
        <w:pageBreakBefore w:val="0"/>
        <w:numPr>
          <w:ilvl w:val="0"/>
          <w:numId w:val="5"/>
        </w:numPr>
        <w:kinsoku/>
        <w:wordWrap/>
        <w:overflowPunct/>
        <w:topLinePunct w:val="0"/>
        <w:autoSpaceDE/>
        <w:autoSpaceDN/>
        <w:bidi w:val="0"/>
        <w:snapToGrid/>
        <w:spacing w:line="480" w:lineRule="exact"/>
        <w:ind w:leftChars="200"/>
        <w:textAlignment w:val="auto"/>
        <w:rPr>
          <w:rStyle w:val="11"/>
          <w:rFonts w:hint="default" w:ascii="仿宋" w:hAnsi="仿宋" w:eastAsia="仿宋" w:cs="仿宋_GB2312"/>
          <w:bCs/>
          <w:sz w:val="32"/>
          <w:szCs w:val="32"/>
          <w:lang w:val="en-US" w:eastAsia="zh-CN"/>
        </w:rPr>
      </w:pPr>
      <w:r>
        <w:rPr>
          <w:rStyle w:val="11"/>
          <w:rFonts w:hint="eastAsia" w:ascii="仿宋" w:hAnsi="仿宋" w:eastAsia="仿宋" w:cs="仿宋_GB2312"/>
          <w:bCs/>
          <w:sz w:val="32"/>
          <w:szCs w:val="32"/>
          <w:lang w:val="en-US" w:eastAsia="zh-CN"/>
        </w:rPr>
        <w:t>重大突发事件。无。</w:t>
      </w:r>
    </w:p>
    <w:p>
      <w:pPr>
        <w:keepNext w:val="0"/>
        <w:keepLines w:val="0"/>
        <w:pageBreakBefore w:val="0"/>
        <w:numPr>
          <w:ilvl w:val="0"/>
          <w:numId w:val="5"/>
        </w:numPr>
        <w:kinsoku/>
        <w:wordWrap/>
        <w:overflowPunct/>
        <w:topLinePunct w:val="0"/>
        <w:autoSpaceDE/>
        <w:autoSpaceDN/>
        <w:bidi w:val="0"/>
        <w:snapToGrid/>
        <w:spacing w:line="480" w:lineRule="exact"/>
        <w:ind w:leftChars="200"/>
        <w:textAlignment w:val="auto"/>
        <w:rPr>
          <w:rStyle w:val="11"/>
          <w:rFonts w:hint="default" w:ascii="仿宋" w:hAnsi="仿宋" w:eastAsia="仿宋" w:cs="仿宋_GB2312"/>
          <w:bCs/>
          <w:sz w:val="32"/>
          <w:szCs w:val="32"/>
          <w:lang w:val="en-US" w:eastAsia="zh-CN"/>
        </w:rPr>
      </w:pPr>
      <w:r>
        <w:rPr>
          <w:rStyle w:val="11"/>
          <w:rFonts w:hint="eastAsia" w:ascii="仿宋" w:hAnsi="仿宋" w:eastAsia="仿宋" w:cs="仿宋_GB2312"/>
          <w:bCs/>
          <w:sz w:val="32"/>
          <w:szCs w:val="32"/>
          <w:lang w:val="en-US" w:eastAsia="zh-CN"/>
        </w:rPr>
        <w:t>涉及监督检查问题整改情况。无。</w:t>
      </w:r>
    </w:p>
    <w:p>
      <w:pPr>
        <w:keepNext w:val="0"/>
        <w:keepLines w:val="0"/>
        <w:pageBreakBefore w:val="0"/>
        <w:numPr>
          <w:ilvl w:val="0"/>
          <w:numId w:val="6"/>
        </w:numPr>
        <w:kinsoku/>
        <w:wordWrap/>
        <w:overflowPunct/>
        <w:topLinePunct w:val="0"/>
        <w:autoSpaceDE/>
        <w:autoSpaceDN/>
        <w:bidi w:val="0"/>
        <w:snapToGrid/>
        <w:spacing w:line="480" w:lineRule="exact"/>
        <w:ind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员工招聘。无。</w:t>
      </w:r>
    </w:p>
    <w:p>
      <w:pPr>
        <w:keepNext w:val="0"/>
        <w:keepLines w:val="0"/>
        <w:pageBreakBefore w:val="0"/>
        <w:numPr>
          <w:ilvl w:val="0"/>
          <w:numId w:val="6"/>
        </w:numPr>
        <w:kinsoku/>
        <w:wordWrap/>
        <w:overflowPunct/>
        <w:topLinePunct w:val="0"/>
        <w:autoSpaceDE/>
        <w:autoSpaceDN/>
        <w:bidi w:val="0"/>
        <w:snapToGrid/>
        <w:spacing w:line="480" w:lineRule="exact"/>
        <w:ind w:left="0" w:leftChars="0"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社会责任</w:t>
      </w:r>
    </w:p>
    <w:p>
      <w:pPr>
        <w:keepNext w:val="0"/>
        <w:keepLines w:val="0"/>
        <w:pageBreakBefore w:val="0"/>
        <w:numPr>
          <w:ilvl w:val="0"/>
          <w:numId w:val="0"/>
        </w:numPr>
        <w:kinsoku/>
        <w:wordWrap/>
        <w:overflowPunct/>
        <w:topLinePunct w:val="0"/>
        <w:autoSpaceDE/>
        <w:autoSpaceDN/>
        <w:bidi w:val="0"/>
        <w:snapToGrid/>
        <w:spacing w:line="480" w:lineRule="exact"/>
        <w:ind w:firstLine="640" w:firstLineChars="200"/>
        <w:textAlignment w:val="auto"/>
        <w:rPr>
          <w:rStyle w:val="11"/>
          <w:rFonts w:hint="eastAsia" w:ascii="仿宋" w:hAnsi="仿宋" w:eastAsia="仿宋" w:cs="仿宋_GB2312"/>
          <w:bCs/>
          <w:kern w:val="2"/>
          <w:sz w:val="32"/>
          <w:szCs w:val="32"/>
          <w:lang w:val="en-US" w:eastAsia="zh-CN" w:bidi="ar-SA"/>
        </w:rPr>
      </w:pPr>
      <w:r>
        <w:rPr>
          <w:rStyle w:val="11"/>
          <w:rFonts w:hint="eastAsia" w:ascii="仿宋" w:hAnsi="仿宋" w:eastAsia="仿宋" w:cs="仿宋_GB2312"/>
          <w:bCs/>
          <w:sz w:val="32"/>
          <w:szCs w:val="32"/>
          <w:lang w:val="en-US" w:eastAsia="zh-CN"/>
        </w:rPr>
        <w:t>坚持精准施策，全力脱贫攻坚。坚持精准施策，助力脱贫攻坚。28名干部职工与青龙县土门子镇东蒿村26名贫困户结对子，定期到家中走访探望，及时掌握基本情况，送去米面油等生活必需品，为青龙县土门子镇东蒿村小学捐赠价值8000元的图书和学习用品。</w:t>
      </w:r>
      <w:r>
        <w:rPr>
          <w:rStyle w:val="11"/>
          <w:rFonts w:hint="eastAsia" w:ascii="仿宋" w:hAnsi="仿宋" w:eastAsia="仿宋" w:cs="仿宋_GB2312"/>
          <w:bCs/>
          <w:kern w:val="2"/>
          <w:sz w:val="32"/>
          <w:szCs w:val="32"/>
          <w:lang w:val="en-US" w:eastAsia="zh-CN" w:bidi="ar-SA"/>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65032"/>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F5E66"/>
    <w:multiLevelType w:val="singleLevel"/>
    <w:tmpl w:val="817F5E66"/>
    <w:lvl w:ilvl="0" w:tentative="0">
      <w:start w:val="1"/>
      <w:numFmt w:val="chineseCounting"/>
      <w:suff w:val="nothing"/>
      <w:lvlText w:val="（%1）"/>
      <w:lvlJc w:val="left"/>
      <w:rPr>
        <w:rFonts w:hint="eastAsia"/>
      </w:rPr>
    </w:lvl>
  </w:abstractNum>
  <w:abstractNum w:abstractNumId="1">
    <w:nsid w:val="9AA9F002"/>
    <w:multiLevelType w:val="singleLevel"/>
    <w:tmpl w:val="9AA9F002"/>
    <w:lvl w:ilvl="0" w:tentative="0">
      <w:start w:val="2"/>
      <w:numFmt w:val="chineseCounting"/>
      <w:suff w:val="nothing"/>
      <w:lvlText w:val="（%1）"/>
      <w:lvlJc w:val="left"/>
      <w:rPr>
        <w:rFonts w:hint="eastAsia"/>
      </w:rPr>
    </w:lvl>
  </w:abstractNum>
  <w:abstractNum w:abstractNumId="2">
    <w:nsid w:val="D75B3923"/>
    <w:multiLevelType w:val="singleLevel"/>
    <w:tmpl w:val="D75B3923"/>
    <w:lvl w:ilvl="0" w:tentative="0">
      <w:start w:val="3"/>
      <w:numFmt w:val="chineseCounting"/>
      <w:suff w:val="nothing"/>
      <w:lvlText w:val="（%1）"/>
      <w:lvlJc w:val="left"/>
      <w:rPr>
        <w:rFonts w:hint="eastAsia"/>
      </w:rPr>
    </w:lvl>
  </w:abstractNum>
  <w:abstractNum w:abstractNumId="3">
    <w:nsid w:val="F988EC1B"/>
    <w:multiLevelType w:val="singleLevel"/>
    <w:tmpl w:val="F988EC1B"/>
    <w:lvl w:ilvl="0" w:tentative="0">
      <w:start w:val="1"/>
      <w:numFmt w:val="chineseCounting"/>
      <w:suff w:val="nothing"/>
      <w:lvlText w:val="（%1）"/>
      <w:lvlJc w:val="left"/>
      <w:rPr>
        <w:rFonts w:hint="eastAsia"/>
      </w:rPr>
    </w:lvl>
  </w:abstractNum>
  <w:abstractNum w:abstractNumId="4">
    <w:nsid w:val="09343291"/>
    <w:multiLevelType w:val="singleLevel"/>
    <w:tmpl w:val="09343291"/>
    <w:lvl w:ilvl="0" w:tentative="0">
      <w:start w:val="3"/>
      <w:numFmt w:val="chineseCounting"/>
      <w:suff w:val="nothing"/>
      <w:lvlText w:val="%1、"/>
      <w:lvlJc w:val="left"/>
      <w:rPr>
        <w:rFonts w:hint="eastAsia"/>
      </w:rPr>
    </w:lvl>
  </w:abstractNum>
  <w:abstractNum w:abstractNumId="5">
    <w:nsid w:val="64A9F9FC"/>
    <w:multiLevelType w:val="singleLevel"/>
    <w:tmpl w:val="64A9F9FC"/>
    <w:lvl w:ilvl="0" w:tentative="0">
      <w:start w:val="7"/>
      <w:numFmt w:val="chineseCounting"/>
      <w:suff w:val="nothing"/>
      <w:lvlText w:val="%1、"/>
      <w:lvlJc w:val="left"/>
      <w:rPr>
        <w:rFonts w:hint="eastAsia"/>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457"/>
    <w:rsid w:val="0001102B"/>
    <w:rsid w:val="00041AAF"/>
    <w:rsid w:val="00042B0C"/>
    <w:rsid w:val="00043B4E"/>
    <w:rsid w:val="00045161"/>
    <w:rsid w:val="00045982"/>
    <w:rsid w:val="000603DB"/>
    <w:rsid w:val="00081AB2"/>
    <w:rsid w:val="000B71E3"/>
    <w:rsid w:val="000C0738"/>
    <w:rsid w:val="000F788A"/>
    <w:rsid w:val="0013224E"/>
    <w:rsid w:val="00165F67"/>
    <w:rsid w:val="001831DA"/>
    <w:rsid w:val="001C3577"/>
    <w:rsid w:val="001D2F59"/>
    <w:rsid w:val="001D7138"/>
    <w:rsid w:val="001F3493"/>
    <w:rsid w:val="00246EA5"/>
    <w:rsid w:val="00260B50"/>
    <w:rsid w:val="002732B1"/>
    <w:rsid w:val="002845AC"/>
    <w:rsid w:val="00284CD0"/>
    <w:rsid w:val="00284EF6"/>
    <w:rsid w:val="00291AE4"/>
    <w:rsid w:val="00292CFC"/>
    <w:rsid w:val="00292E68"/>
    <w:rsid w:val="002B1654"/>
    <w:rsid w:val="002E47C3"/>
    <w:rsid w:val="002E76CD"/>
    <w:rsid w:val="002E7F43"/>
    <w:rsid w:val="002F408A"/>
    <w:rsid w:val="002F6113"/>
    <w:rsid w:val="00303D91"/>
    <w:rsid w:val="00305E24"/>
    <w:rsid w:val="0031083C"/>
    <w:rsid w:val="00376437"/>
    <w:rsid w:val="00394668"/>
    <w:rsid w:val="003B4C2F"/>
    <w:rsid w:val="003D7878"/>
    <w:rsid w:val="003F3BDD"/>
    <w:rsid w:val="00402030"/>
    <w:rsid w:val="00403A20"/>
    <w:rsid w:val="00407E2D"/>
    <w:rsid w:val="004107DA"/>
    <w:rsid w:val="0042124E"/>
    <w:rsid w:val="0042717E"/>
    <w:rsid w:val="00427568"/>
    <w:rsid w:val="0043473E"/>
    <w:rsid w:val="00443E6D"/>
    <w:rsid w:val="00446B44"/>
    <w:rsid w:val="004946E2"/>
    <w:rsid w:val="00494BEF"/>
    <w:rsid w:val="004A6125"/>
    <w:rsid w:val="004C3D04"/>
    <w:rsid w:val="00522EFF"/>
    <w:rsid w:val="0053559A"/>
    <w:rsid w:val="00536321"/>
    <w:rsid w:val="00563E89"/>
    <w:rsid w:val="0057387D"/>
    <w:rsid w:val="00586DB9"/>
    <w:rsid w:val="005A4351"/>
    <w:rsid w:val="005D7E37"/>
    <w:rsid w:val="005E4D5B"/>
    <w:rsid w:val="005E65B0"/>
    <w:rsid w:val="00603E08"/>
    <w:rsid w:val="00622C50"/>
    <w:rsid w:val="00633F36"/>
    <w:rsid w:val="00643995"/>
    <w:rsid w:val="00646A36"/>
    <w:rsid w:val="00662E4C"/>
    <w:rsid w:val="00671F37"/>
    <w:rsid w:val="00676206"/>
    <w:rsid w:val="00681EE0"/>
    <w:rsid w:val="006A4BBB"/>
    <w:rsid w:val="006C442D"/>
    <w:rsid w:val="006E6187"/>
    <w:rsid w:val="006E7A7F"/>
    <w:rsid w:val="00705F06"/>
    <w:rsid w:val="00712E6F"/>
    <w:rsid w:val="0072401A"/>
    <w:rsid w:val="00733F9A"/>
    <w:rsid w:val="00772EE8"/>
    <w:rsid w:val="00785329"/>
    <w:rsid w:val="007C4CD6"/>
    <w:rsid w:val="00811101"/>
    <w:rsid w:val="00845D22"/>
    <w:rsid w:val="0084779D"/>
    <w:rsid w:val="00861E6E"/>
    <w:rsid w:val="0088381C"/>
    <w:rsid w:val="0088684D"/>
    <w:rsid w:val="00891EF5"/>
    <w:rsid w:val="008C540A"/>
    <w:rsid w:val="008D0764"/>
    <w:rsid w:val="008E67FD"/>
    <w:rsid w:val="009056F0"/>
    <w:rsid w:val="00922B0C"/>
    <w:rsid w:val="009316DA"/>
    <w:rsid w:val="00941434"/>
    <w:rsid w:val="0094246F"/>
    <w:rsid w:val="009472FE"/>
    <w:rsid w:val="00955E6A"/>
    <w:rsid w:val="009564A6"/>
    <w:rsid w:val="00957022"/>
    <w:rsid w:val="00967734"/>
    <w:rsid w:val="009707FD"/>
    <w:rsid w:val="00985BC9"/>
    <w:rsid w:val="00995C7C"/>
    <w:rsid w:val="009C3172"/>
    <w:rsid w:val="009C47A0"/>
    <w:rsid w:val="009D5F08"/>
    <w:rsid w:val="009E42EE"/>
    <w:rsid w:val="009E6FFF"/>
    <w:rsid w:val="009F6DC6"/>
    <w:rsid w:val="00A06FFF"/>
    <w:rsid w:val="00A2454C"/>
    <w:rsid w:val="00A25BBB"/>
    <w:rsid w:val="00A54C39"/>
    <w:rsid w:val="00A622AD"/>
    <w:rsid w:val="00A72D25"/>
    <w:rsid w:val="00A81C33"/>
    <w:rsid w:val="00AD2804"/>
    <w:rsid w:val="00AD34C1"/>
    <w:rsid w:val="00AF59EA"/>
    <w:rsid w:val="00AF6AE3"/>
    <w:rsid w:val="00B107C4"/>
    <w:rsid w:val="00B130F0"/>
    <w:rsid w:val="00B14D16"/>
    <w:rsid w:val="00B20D87"/>
    <w:rsid w:val="00B40CFA"/>
    <w:rsid w:val="00B572C2"/>
    <w:rsid w:val="00B74140"/>
    <w:rsid w:val="00B80E17"/>
    <w:rsid w:val="00B9129A"/>
    <w:rsid w:val="00B95331"/>
    <w:rsid w:val="00B971D6"/>
    <w:rsid w:val="00BC11E0"/>
    <w:rsid w:val="00BC14D8"/>
    <w:rsid w:val="00BC3BEF"/>
    <w:rsid w:val="00BD0E50"/>
    <w:rsid w:val="00BF5D48"/>
    <w:rsid w:val="00C05A62"/>
    <w:rsid w:val="00C07290"/>
    <w:rsid w:val="00C322DB"/>
    <w:rsid w:val="00C93E03"/>
    <w:rsid w:val="00CA4E14"/>
    <w:rsid w:val="00CB6457"/>
    <w:rsid w:val="00CB69B0"/>
    <w:rsid w:val="00CB69C9"/>
    <w:rsid w:val="00CF230B"/>
    <w:rsid w:val="00D1541E"/>
    <w:rsid w:val="00D32D4B"/>
    <w:rsid w:val="00D47BC5"/>
    <w:rsid w:val="00D70C3F"/>
    <w:rsid w:val="00D72365"/>
    <w:rsid w:val="00D810DD"/>
    <w:rsid w:val="00D817C1"/>
    <w:rsid w:val="00D84FFB"/>
    <w:rsid w:val="00DA072C"/>
    <w:rsid w:val="00DE479C"/>
    <w:rsid w:val="00E13D3A"/>
    <w:rsid w:val="00E24F36"/>
    <w:rsid w:val="00E3442D"/>
    <w:rsid w:val="00E81610"/>
    <w:rsid w:val="00E8302E"/>
    <w:rsid w:val="00EB0ACA"/>
    <w:rsid w:val="00EE0FE0"/>
    <w:rsid w:val="00F05F9A"/>
    <w:rsid w:val="00F2665B"/>
    <w:rsid w:val="00FC5AAD"/>
    <w:rsid w:val="00FD4862"/>
    <w:rsid w:val="015C0DDB"/>
    <w:rsid w:val="040F5E3D"/>
    <w:rsid w:val="15F51412"/>
    <w:rsid w:val="20FC1BC5"/>
    <w:rsid w:val="25B52667"/>
    <w:rsid w:val="2A915858"/>
    <w:rsid w:val="2BCF0622"/>
    <w:rsid w:val="2EE61AE3"/>
    <w:rsid w:val="32145C37"/>
    <w:rsid w:val="3B9B5D2E"/>
    <w:rsid w:val="3D253EC9"/>
    <w:rsid w:val="3FBDF59E"/>
    <w:rsid w:val="45120AE5"/>
    <w:rsid w:val="47AA745C"/>
    <w:rsid w:val="48177CEA"/>
    <w:rsid w:val="495071F3"/>
    <w:rsid w:val="4E54216E"/>
    <w:rsid w:val="4E970D0E"/>
    <w:rsid w:val="4F736911"/>
    <w:rsid w:val="50057FEF"/>
    <w:rsid w:val="568850AA"/>
    <w:rsid w:val="5858468A"/>
    <w:rsid w:val="590D06F5"/>
    <w:rsid w:val="5C3E48CE"/>
    <w:rsid w:val="66CF155C"/>
    <w:rsid w:val="67257597"/>
    <w:rsid w:val="673E6EE7"/>
    <w:rsid w:val="700D6D47"/>
    <w:rsid w:val="70F97835"/>
    <w:rsid w:val="72C434FA"/>
    <w:rsid w:val="DF7F0D73"/>
    <w:rsid w:val="DFDB4B48"/>
    <w:rsid w:val="FEFB8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qFormat/>
    <w:uiPriority w:val="99"/>
    <w:rPr>
      <w:sz w:val="18"/>
      <w:szCs w:val="18"/>
    </w:rPr>
  </w:style>
  <w:style w:type="character" w:customStyle="1" w:styleId="11">
    <w:name w:val="NormalCharacter"/>
    <w:semiHidden/>
    <w:qFormat/>
    <w:uiPriority w:val="0"/>
  </w:style>
  <w:style w:type="paragraph" w:styleId="12">
    <w:name w:val="List Paragraph"/>
    <w:basedOn w:val="1"/>
    <w:qFormat/>
    <w:uiPriority w:val="34"/>
    <w:pPr>
      <w:ind w:firstLine="420" w:firstLineChars="200"/>
    </w:pPr>
  </w:style>
  <w:style w:type="paragraph" w:customStyle="1" w:styleId="13">
    <w:name w:val="p0"/>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9</Pages>
  <Words>659</Words>
  <Characters>3761</Characters>
  <Lines>31</Lines>
  <Paragraphs>8</Paragraphs>
  <TotalTime>0</TotalTime>
  <ScaleCrop>false</ScaleCrop>
  <LinksUpToDate>false</LinksUpToDate>
  <CharactersWithSpaces>4412</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2021-11-17T23:31:00Z</dcterms:created>
  <dc:creator>Micorosoft</dc:creator>
  <cp:lastModifiedBy>administrator</cp:lastModifiedBy>
  <cp:lastPrinted>2022-05-08T18:15:00Z</cp:lastPrinted>
  <dcterms:modified xsi:type="dcterms:W3CDTF">2024-01-05T09:15:00Z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E0438DDFD01A430B84BDCC2C4F156BA7</vt:lpwstr>
  </property>
</Properties>
</file>